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8BF22" w14:textId="77777777" w:rsidR="006D4481" w:rsidRDefault="009B7B04">
      <w:pPr>
        <w:spacing w:before="900" w:after="200"/>
        <w:jc w:val="center"/>
      </w:pPr>
      <w:r>
        <w:rPr>
          <w:noProof/>
        </w:rPr>
        <w:drawing>
          <wp:inline distT="0" distB="0" distL="0" distR="0" wp14:anchorId="045C7C22" wp14:editId="373CD3A9">
            <wp:extent cx="4922184" cy="2000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930597" cy="2003669"/>
                    </a:xfrm>
                    <a:prstGeom prst="rect">
                      <a:avLst/>
                    </a:prstGeom>
                  </pic:spPr>
                </pic:pic>
              </a:graphicData>
            </a:graphic>
          </wp:inline>
        </w:drawing>
      </w:r>
    </w:p>
    <w:p w14:paraId="57EFDC3C" w14:textId="77777777" w:rsidR="00397DF6" w:rsidRDefault="00397DF6">
      <w:pPr>
        <w:spacing w:before="900" w:after="200"/>
        <w:jc w:val="center"/>
      </w:pPr>
    </w:p>
    <w:p w14:paraId="1E32AEF6" w14:textId="77777777" w:rsidR="008D069B" w:rsidRDefault="008D069B">
      <w:pPr>
        <w:spacing w:before="900" w:after="200"/>
        <w:jc w:val="center"/>
      </w:pPr>
    </w:p>
    <w:p w14:paraId="6669223D" w14:textId="77777777" w:rsidR="006D4481" w:rsidRDefault="009B7B04">
      <w:pPr>
        <w:spacing w:before="400" w:after="120"/>
        <w:jc w:val="center"/>
      </w:pPr>
      <w:r>
        <w:rPr>
          <w:b/>
          <w:bCs/>
          <w:color w:val="450099"/>
          <w:sz w:val="52"/>
          <w:szCs w:val="52"/>
        </w:rPr>
        <w:t>SALES COMMISSION POLICY</w:t>
      </w:r>
    </w:p>
    <w:p w14:paraId="6A536269" w14:textId="5026BC5A" w:rsidR="006D4481" w:rsidRDefault="003D5C3B">
      <w:pPr>
        <w:spacing w:after="100"/>
        <w:jc w:val="center"/>
        <w:rPr>
          <w:color w:val="595959"/>
          <w:sz w:val="26"/>
          <w:szCs w:val="26"/>
        </w:rPr>
      </w:pPr>
      <w:r w:rsidRPr="00212D98">
        <w:rPr>
          <w:color w:val="595959"/>
          <w:sz w:val="26"/>
        </w:rPr>
        <w:t xml:space="preserve">Human Resources </w:t>
      </w:r>
      <w:r w:rsidRPr="003D5C3B">
        <w:rPr>
          <w:color w:val="595959"/>
          <w:sz w:val="26"/>
          <w:szCs w:val="26"/>
        </w:rPr>
        <w:t xml:space="preserve">— </w:t>
      </w:r>
      <w:r>
        <w:rPr>
          <w:color w:val="595959"/>
          <w:sz w:val="26"/>
          <w:szCs w:val="26"/>
        </w:rPr>
        <w:t>Sales</w:t>
      </w:r>
      <w:r w:rsidRPr="003D5C3B">
        <w:rPr>
          <w:color w:val="595959"/>
          <w:sz w:val="26"/>
          <w:szCs w:val="26"/>
        </w:rPr>
        <w:t xml:space="preserve"> Commission Scheme</w:t>
      </w:r>
    </w:p>
    <w:p w14:paraId="164E2B2A" w14:textId="77777777" w:rsidR="008D069B" w:rsidRDefault="008D069B">
      <w:pPr>
        <w:spacing w:after="100"/>
        <w:jc w:val="center"/>
        <w:rPr>
          <w:color w:val="595959"/>
          <w:sz w:val="26"/>
          <w:szCs w:val="26"/>
        </w:rPr>
      </w:pPr>
    </w:p>
    <w:p w14:paraId="11C7FCA0" w14:textId="77777777" w:rsidR="008D069B" w:rsidRDefault="008D069B">
      <w:pPr>
        <w:spacing w:after="100"/>
        <w:jc w:val="center"/>
        <w:rPr>
          <w:color w:val="595959"/>
          <w:sz w:val="26"/>
          <w:szCs w:val="26"/>
        </w:rPr>
      </w:pPr>
    </w:p>
    <w:p w14:paraId="0A7A407F" w14:textId="77777777" w:rsidR="008D069B" w:rsidRDefault="008D069B">
      <w:pPr>
        <w:spacing w:after="100"/>
        <w:jc w:val="center"/>
        <w:rPr>
          <w:color w:val="595959"/>
          <w:sz w:val="26"/>
          <w:szCs w:val="26"/>
        </w:rPr>
      </w:pPr>
    </w:p>
    <w:p w14:paraId="6852F491" w14:textId="77777777" w:rsidR="008D069B" w:rsidRDefault="008D069B">
      <w:pPr>
        <w:spacing w:after="100"/>
        <w:jc w:val="center"/>
        <w:rPr>
          <w:color w:val="595959"/>
          <w:sz w:val="26"/>
          <w:szCs w:val="26"/>
        </w:rPr>
      </w:pPr>
    </w:p>
    <w:p w14:paraId="4C722BAD" w14:textId="77777777" w:rsidR="008D069B" w:rsidRDefault="008D069B">
      <w:pPr>
        <w:spacing w:after="100"/>
        <w:jc w:val="center"/>
        <w:rPr>
          <w:color w:val="595959"/>
          <w:sz w:val="26"/>
          <w:szCs w:val="26"/>
        </w:rPr>
      </w:pPr>
    </w:p>
    <w:p w14:paraId="1E48DF82" w14:textId="77777777" w:rsidR="008D069B" w:rsidRDefault="008D069B">
      <w:pPr>
        <w:spacing w:after="100"/>
        <w:jc w:val="center"/>
        <w:rPr>
          <w:color w:val="595959"/>
          <w:sz w:val="26"/>
          <w:szCs w:val="26"/>
        </w:rPr>
      </w:pPr>
    </w:p>
    <w:p w14:paraId="782AAAA3" w14:textId="77777777" w:rsidR="00526399" w:rsidRDefault="00526399">
      <w:pPr>
        <w:spacing w:after="100"/>
        <w:jc w:val="center"/>
        <w:rPr>
          <w:color w:val="595959"/>
          <w:sz w:val="26"/>
          <w:szCs w:val="26"/>
        </w:rPr>
      </w:pPr>
    </w:p>
    <w:p w14:paraId="33E23CE8" w14:textId="77777777" w:rsidR="008D069B" w:rsidRDefault="008D069B">
      <w:pPr>
        <w:spacing w:after="100"/>
        <w:jc w:val="center"/>
        <w:rPr>
          <w:color w:val="595959"/>
          <w:sz w:val="26"/>
          <w:szCs w:val="26"/>
        </w:rPr>
      </w:pPr>
    </w:p>
    <w:p w14:paraId="10779EB3" w14:textId="77777777" w:rsidR="008D069B" w:rsidRDefault="008D069B">
      <w:pPr>
        <w:spacing w:after="100"/>
        <w:jc w:val="center"/>
        <w:rPr>
          <w:color w:val="595959"/>
          <w:sz w:val="26"/>
          <w:szCs w:val="26"/>
        </w:rPr>
      </w:pPr>
    </w:p>
    <w:p w14:paraId="77FC0AFF" w14:textId="77777777" w:rsidR="008D069B" w:rsidRDefault="008D069B">
      <w:pPr>
        <w:spacing w:after="100"/>
        <w:jc w:val="center"/>
        <w:rPr>
          <w:color w:val="595959"/>
          <w:sz w:val="26"/>
          <w:szCs w:val="26"/>
        </w:rPr>
      </w:pPr>
    </w:p>
    <w:p w14:paraId="51D5A719" w14:textId="77777777" w:rsidR="008D069B" w:rsidRDefault="008D069B">
      <w:pPr>
        <w:spacing w:after="100"/>
        <w:jc w:val="center"/>
        <w:rPr>
          <w:color w:val="595959"/>
          <w:sz w:val="26"/>
          <w:szCs w:val="26"/>
        </w:rPr>
      </w:pPr>
    </w:p>
    <w:p w14:paraId="7D709F4A" w14:textId="77777777" w:rsidR="008D069B" w:rsidRDefault="008D069B">
      <w:pPr>
        <w:spacing w:after="100"/>
        <w:jc w:val="center"/>
        <w:rPr>
          <w:color w:val="595959"/>
          <w:sz w:val="26"/>
          <w:szCs w:val="26"/>
        </w:rPr>
      </w:pPr>
    </w:p>
    <w:p w14:paraId="4A802A5D" w14:textId="77777777" w:rsidR="008D069B" w:rsidRDefault="008D069B">
      <w:pPr>
        <w:spacing w:after="100"/>
        <w:jc w:val="center"/>
        <w:rPr>
          <w:color w:val="595959"/>
          <w:sz w:val="26"/>
          <w:szCs w:val="26"/>
        </w:rPr>
      </w:pPr>
    </w:p>
    <w:p w14:paraId="5EF48657" w14:textId="77777777" w:rsidR="008D069B" w:rsidRDefault="008D069B">
      <w:pPr>
        <w:spacing w:after="100"/>
        <w:jc w:val="center"/>
        <w:rPr>
          <w:color w:val="595959"/>
          <w:sz w:val="26"/>
          <w:szCs w:val="26"/>
        </w:rPr>
      </w:pPr>
    </w:p>
    <w:p w14:paraId="4E44D9EA" w14:textId="60A71722" w:rsidR="006D4481" w:rsidRDefault="009B7B04">
      <w:pPr>
        <w:spacing w:after="240"/>
      </w:pPr>
      <w:r>
        <w:rPr>
          <w:b/>
          <w:bCs/>
          <w:color w:val="450099"/>
          <w:sz w:val="30"/>
          <w:szCs w:val="30"/>
        </w:rPr>
        <w:lastRenderedPageBreak/>
        <w:t>Contents</w:t>
      </w:r>
    </w:p>
    <w:p w14:paraId="4268BB34" w14:textId="77777777" w:rsidR="006D4481" w:rsidRDefault="009B7B04">
      <w:pPr>
        <w:spacing w:after="140"/>
      </w:pPr>
      <w:r>
        <w:rPr>
          <w:color w:val="262626"/>
        </w:rPr>
        <w:t>1. Purpose</w:t>
      </w:r>
    </w:p>
    <w:p w14:paraId="46E28186" w14:textId="77777777" w:rsidR="006D4481" w:rsidRDefault="009B7B04">
      <w:pPr>
        <w:spacing w:after="140"/>
      </w:pPr>
      <w:r>
        <w:rPr>
          <w:color w:val="262626"/>
        </w:rPr>
        <w:t>2. Scope</w:t>
      </w:r>
    </w:p>
    <w:p w14:paraId="7A8FBE07" w14:textId="77777777" w:rsidR="006D4481" w:rsidRDefault="009B7B04">
      <w:pPr>
        <w:spacing w:after="140"/>
      </w:pPr>
      <w:r>
        <w:rPr>
          <w:color w:val="262626"/>
        </w:rPr>
        <w:t>3. Definitions</w:t>
      </w:r>
    </w:p>
    <w:p w14:paraId="777A1644" w14:textId="77777777" w:rsidR="006D4481" w:rsidRDefault="009B7B04">
      <w:pPr>
        <w:spacing w:after="140"/>
      </w:pPr>
      <w:r>
        <w:rPr>
          <w:color w:val="262626"/>
        </w:rPr>
        <w:t>4. Commission Entitlement</w:t>
      </w:r>
    </w:p>
    <w:p w14:paraId="21B51522" w14:textId="77777777" w:rsidR="006D4481" w:rsidRDefault="009B7B04">
      <w:pPr>
        <w:spacing w:after="140"/>
      </w:pPr>
      <w:r>
        <w:rPr>
          <w:color w:val="262626"/>
        </w:rPr>
        <w:t>5. Collection Adjustment</w:t>
      </w:r>
    </w:p>
    <w:p w14:paraId="69343E83" w14:textId="361234A3" w:rsidR="006D4481" w:rsidRDefault="008D069B">
      <w:pPr>
        <w:spacing w:after="140"/>
      </w:pPr>
      <w:r>
        <w:rPr>
          <w:color w:val="262626"/>
        </w:rPr>
        <w:t>6.</w:t>
      </w:r>
      <w:r w:rsidR="009B7B04">
        <w:rPr>
          <w:color w:val="262626"/>
        </w:rPr>
        <w:t xml:space="preserve"> Net Commission</w:t>
      </w:r>
    </w:p>
    <w:p w14:paraId="144F0A46" w14:textId="5D4CC835" w:rsidR="006D4481" w:rsidRDefault="008D069B">
      <w:pPr>
        <w:spacing w:after="140"/>
      </w:pPr>
      <w:r>
        <w:rPr>
          <w:color w:val="262626"/>
        </w:rPr>
        <w:t>7.</w:t>
      </w:r>
      <w:r w:rsidR="009B7B04">
        <w:rPr>
          <w:color w:val="262626"/>
        </w:rPr>
        <w:t xml:space="preserve"> Measurement Period and Payment Timing</w:t>
      </w:r>
    </w:p>
    <w:p w14:paraId="3E485897" w14:textId="55E66AAC" w:rsidR="00F51AB7" w:rsidRPr="00F51AB7" w:rsidRDefault="008D069B">
      <w:pPr>
        <w:spacing w:after="140"/>
        <w:rPr>
          <w:color w:val="262626"/>
        </w:rPr>
      </w:pPr>
      <w:r>
        <w:rPr>
          <w:color w:val="262626"/>
        </w:rPr>
        <w:t>8.</w:t>
      </w:r>
      <w:r w:rsidR="00F51AB7" w:rsidRPr="00F51AB7">
        <w:rPr>
          <w:color w:val="262626"/>
        </w:rPr>
        <w:t xml:space="preserve"> Eligibility Conditions</w:t>
      </w:r>
    </w:p>
    <w:p w14:paraId="2FF7EA5A" w14:textId="0949BA99" w:rsidR="00F51AB7" w:rsidRPr="007C57E2" w:rsidRDefault="008D069B" w:rsidP="007C57E2">
      <w:pPr>
        <w:spacing w:after="140"/>
        <w:rPr>
          <w:color w:val="262626"/>
        </w:rPr>
      </w:pPr>
      <w:r>
        <w:rPr>
          <w:color w:val="262626"/>
        </w:rPr>
        <w:t>9.</w:t>
      </w:r>
      <w:r w:rsidR="00F51AB7" w:rsidRPr="007C57E2">
        <w:rPr>
          <w:color w:val="262626"/>
        </w:rPr>
        <w:t xml:space="preserve"> Compensation Package Changes</w:t>
      </w:r>
    </w:p>
    <w:p w14:paraId="1F84039F" w14:textId="3568048B" w:rsidR="00F51AB7" w:rsidRPr="007C57E2" w:rsidRDefault="008D069B" w:rsidP="007C57E2">
      <w:pPr>
        <w:spacing w:after="140"/>
        <w:rPr>
          <w:color w:val="262626"/>
        </w:rPr>
      </w:pPr>
      <w:r>
        <w:rPr>
          <w:color w:val="262626"/>
        </w:rPr>
        <w:t>10.</w:t>
      </w:r>
      <w:r w:rsidR="00F51AB7" w:rsidRPr="007C57E2">
        <w:rPr>
          <w:color w:val="262626"/>
        </w:rPr>
        <w:t xml:space="preserve"> Governance</w:t>
      </w:r>
    </w:p>
    <w:p w14:paraId="2E543690" w14:textId="77777777" w:rsidR="005E6FF8" w:rsidRDefault="00F51AB7">
      <w:pPr>
        <w:spacing w:after="140"/>
        <w:rPr>
          <w:color w:val="262626"/>
        </w:rPr>
      </w:pPr>
      <w:r w:rsidRPr="00F51AB7">
        <w:rPr>
          <w:color w:val="262626"/>
        </w:rPr>
        <w:t>Appendix A — Worked Example</w:t>
      </w:r>
    </w:p>
    <w:p w14:paraId="4FAD2AAD" w14:textId="2B491916" w:rsidR="006D4481" w:rsidRPr="005E6FF8" w:rsidRDefault="005E6FF8" w:rsidP="005E6FF8">
      <w:pPr>
        <w:spacing w:after="140"/>
        <w:rPr>
          <w:color w:val="262626"/>
        </w:rPr>
      </w:pPr>
      <w:r w:rsidRPr="005E6FF8">
        <w:rPr>
          <w:color w:val="262626"/>
        </w:rPr>
        <w:t>Approval</w:t>
      </w:r>
    </w:p>
    <w:p w14:paraId="414B010B" w14:textId="77777777" w:rsidR="006D4481" w:rsidRDefault="009B7B04">
      <w:r>
        <w:br w:type="page"/>
      </w:r>
    </w:p>
    <w:p w14:paraId="7573E6CC" w14:textId="77777777" w:rsidR="006D4481" w:rsidRDefault="006D4481">
      <w:pPr>
        <w:sectPr w:rsidR="006D4481">
          <w:headerReference w:type="even" r:id="rId8"/>
          <w:headerReference w:type="default" r:id="rId9"/>
          <w:footerReference w:type="even" r:id="rId10"/>
          <w:footerReference w:type="default" r:id="rId11"/>
          <w:headerReference w:type="first" r:id="rId12"/>
          <w:footerReference w:type="first" r:id="rId13"/>
          <w:pgSz w:w="11906" w:h="16838"/>
          <w:pgMar w:top="1440" w:right="1350" w:bottom="1440" w:left="1350" w:header="708" w:footer="708" w:gutter="0"/>
          <w:cols w:space="720"/>
          <w:titlePg/>
          <w:docGrid w:linePitch="360"/>
        </w:sectPr>
      </w:pPr>
    </w:p>
    <w:p w14:paraId="7A6A1E36" w14:textId="77777777" w:rsidR="006D4481" w:rsidRDefault="009B7B04">
      <w:pPr>
        <w:pStyle w:val="Heading1"/>
        <w:pBdr>
          <w:bottom w:val="single" w:sz="6" w:space="4" w:color="FF671E"/>
        </w:pBdr>
      </w:pPr>
      <w:r>
        <w:lastRenderedPageBreak/>
        <w:t>1. Purpose</w:t>
      </w:r>
    </w:p>
    <w:p w14:paraId="5415F26E" w14:textId="30DA8ED9" w:rsidR="006D4481" w:rsidRDefault="009B7B04">
      <w:pPr>
        <w:spacing w:after="160" w:line="276" w:lineRule="auto"/>
      </w:pPr>
      <w:r>
        <w:t>This policy sets out how quarterly sales commission is calculated, verified, approved and paid. Commission rewards revenue that is actually collected — not invoiced revenue alone — so that entitlement is aligned with the cash position of the Company.</w:t>
      </w:r>
    </w:p>
    <w:p w14:paraId="690246B1" w14:textId="77777777" w:rsidR="006D4481" w:rsidRDefault="009B7B04">
      <w:pPr>
        <w:pStyle w:val="Heading1"/>
        <w:pBdr>
          <w:bottom w:val="single" w:sz="6" w:space="4" w:color="FF671E"/>
        </w:pBdr>
      </w:pPr>
      <w:r>
        <w:t>2. Scope</w:t>
      </w:r>
    </w:p>
    <w:p w14:paraId="175EE140" w14:textId="77777777" w:rsidR="006D4481" w:rsidRDefault="009B7B04">
      <w:pPr>
        <w:spacing w:after="160" w:line="276" w:lineRule="auto"/>
      </w:pPr>
      <w:r>
        <w:t>This policy applies to all sales staff carrying an assigned quarterly revenue target. Employees without an assigned quarterly target are not eligible for commission under this scheme.</w:t>
      </w:r>
    </w:p>
    <w:p w14:paraId="2DF40BC6" w14:textId="77777777" w:rsidR="006D4481" w:rsidRDefault="009B7B04">
      <w:pPr>
        <w:pStyle w:val="Heading1"/>
        <w:pBdr>
          <w:bottom w:val="single" w:sz="6" w:space="4" w:color="FF671E"/>
        </w:pBdr>
      </w:pPr>
      <w:r>
        <w:t>3. Definitions</w:t>
      </w:r>
    </w:p>
    <w:p w14:paraId="06747543" w14:textId="77777777" w:rsidR="006D4481" w:rsidRDefault="009B7B04">
      <w:pPr>
        <w:spacing w:after="160" w:line="276" w:lineRule="auto"/>
      </w:pPr>
      <w:r>
        <w:t>For the purposes of this policy:</w:t>
      </w:r>
    </w:p>
    <w:tbl>
      <w:tblPr>
        <w:tblW w:w="9200" w:type="dxa"/>
        <w:tblBorders>
          <w:top w:val="single" w:sz="4" w:space="0" w:color="D9D0EC"/>
          <w:left w:val="single" w:sz="4" w:space="0" w:color="D9D0EC"/>
          <w:bottom w:val="single" w:sz="4" w:space="0" w:color="D9D0EC"/>
          <w:right w:val="single" w:sz="4" w:space="0" w:color="D9D0EC"/>
          <w:insideH w:val="single" w:sz="4" w:space="0" w:color="D9D0EC"/>
          <w:insideV w:val="single" w:sz="4" w:space="0" w:color="D9D0EC"/>
        </w:tblBorders>
        <w:tblCellMar>
          <w:left w:w="10" w:type="dxa"/>
          <w:right w:w="10" w:type="dxa"/>
        </w:tblCellMar>
        <w:tblLook w:val="04A0" w:firstRow="1" w:lastRow="0" w:firstColumn="1" w:lastColumn="0" w:noHBand="0" w:noVBand="1"/>
      </w:tblPr>
      <w:tblGrid>
        <w:gridCol w:w="3200"/>
        <w:gridCol w:w="6000"/>
      </w:tblGrid>
      <w:tr w:rsidR="006D4481" w:rsidRPr="008D069B" w14:paraId="7DD7E179" w14:textId="77777777" w:rsidTr="00526399">
        <w:trPr>
          <w:tblHeader/>
        </w:trPr>
        <w:tc>
          <w:tcPr>
            <w:tcW w:w="3200" w:type="dxa"/>
            <w:shd w:val="clear" w:color="450099" w:fill="450099"/>
            <w:tcMar>
              <w:top w:w="60" w:type="dxa"/>
              <w:left w:w="120" w:type="dxa"/>
              <w:bottom w:w="60" w:type="dxa"/>
              <w:right w:w="120" w:type="dxa"/>
            </w:tcMar>
            <w:vAlign w:val="center"/>
          </w:tcPr>
          <w:p w14:paraId="3CC34602" w14:textId="77777777" w:rsidR="006D4481" w:rsidRPr="008D069B" w:rsidRDefault="009B7B04">
            <w:pPr>
              <w:rPr>
                <w:b/>
                <w:color w:val="FFFFFF"/>
              </w:rPr>
            </w:pPr>
            <w:r w:rsidRPr="008D069B">
              <w:rPr>
                <w:b/>
                <w:bCs/>
                <w:color w:val="FFFFFF"/>
                <w:sz w:val="20"/>
                <w:szCs w:val="20"/>
              </w:rPr>
              <w:t>Term</w:t>
            </w:r>
          </w:p>
        </w:tc>
        <w:tc>
          <w:tcPr>
            <w:tcW w:w="6000" w:type="dxa"/>
            <w:shd w:val="clear" w:color="450099" w:fill="450099"/>
            <w:tcMar>
              <w:top w:w="60" w:type="dxa"/>
              <w:left w:w="120" w:type="dxa"/>
              <w:bottom w:w="60" w:type="dxa"/>
              <w:right w:w="120" w:type="dxa"/>
            </w:tcMar>
            <w:vAlign w:val="center"/>
          </w:tcPr>
          <w:p w14:paraId="2A619D2F" w14:textId="77777777" w:rsidR="006D4481" w:rsidRPr="008D069B" w:rsidRDefault="009B7B04">
            <w:pPr>
              <w:rPr>
                <w:b/>
                <w:color w:val="FFFFFF"/>
              </w:rPr>
            </w:pPr>
            <w:r w:rsidRPr="008D069B">
              <w:rPr>
                <w:b/>
                <w:bCs/>
                <w:color w:val="FFFFFF"/>
                <w:sz w:val="20"/>
                <w:szCs w:val="20"/>
              </w:rPr>
              <w:t>Meaning</w:t>
            </w:r>
          </w:p>
        </w:tc>
      </w:tr>
      <w:tr w:rsidR="006D4481" w14:paraId="69A5AF82" w14:textId="77777777" w:rsidTr="00526399">
        <w:trPr>
          <w:trHeight w:val="440"/>
        </w:trPr>
        <w:tc>
          <w:tcPr>
            <w:tcW w:w="3200" w:type="dxa"/>
            <w:shd w:val="clear" w:color="F0E9F9" w:fill="F0E9F9"/>
            <w:tcMar>
              <w:top w:w="60" w:type="dxa"/>
              <w:left w:w="120" w:type="dxa"/>
              <w:bottom w:w="60" w:type="dxa"/>
              <w:right w:w="120" w:type="dxa"/>
            </w:tcMar>
            <w:vAlign w:val="center"/>
          </w:tcPr>
          <w:p w14:paraId="5DF1D125" w14:textId="77777777" w:rsidR="006D4481" w:rsidRDefault="009B7B04">
            <w:r>
              <w:rPr>
                <w:b/>
                <w:bCs/>
                <w:sz w:val="20"/>
                <w:szCs w:val="20"/>
              </w:rPr>
              <w:t>Quarterly Target</w:t>
            </w:r>
          </w:p>
        </w:tc>
        <w:tc>
          <w:tcPr>
            <w:tcW w:w="6000" w:type="dxa"/>
            <w:shd w:val="clear" w:color="F0E9F9" w:fill="F0E9F9"/>
            <w:tcMar>
              <w:top w:w="60" w:type="dxa"/>
              <w:left w:w="120" w:type="dxa"/>
              <w:bottom w:w="60" w:type="dxa"/>
              <w:right w:w="120" w:type="dxa"/>
            </w:tcMar>
            <w:vAlign w:val="center"/>
          </w:tcPr>
          <w:p w14:paraId="20F171C1" w14:textId="77777777" w:rsidR="006D4481" w:rsidRDefault="009B7B04">
            <w:r>
              <w:rPr>
                <w:sz w:val="20"/>
                <w:szCs w:val="20"/>
              </w:rPr>
              <w:t>The revenue target assigned to the employee for the reporting quarter, as approved by management.</w:t>
            </w:r>
          </w:p>
        </w:tc>
      </w:tr>
      <w:tr w:rsidR="006D4481" w14:paraId="2A54CA75" w14:textId="77777777" w:rsidTr="00526399">
        <w:trPr>
          <w:trHeight w:val="440"/>
        </w:trPr>
        <w:tc>
          <w:tcPr>
            <w:tcW w:w="3200" w:type="dxa"/>
            <w:shd w:val="clear" w:color="FFFFFF" w:fill="FFFFFF"/>
            <w:tcMar>
              <w:top w:w="60" w:type="dxa"/>
              <w:left w:w="120" w:type="dxa"/>
              <w:bottom w:w="60" w:type="dxa"/>
              <w:right w:w="120" w:type="dxa"/>
            </w:tcMar>
            <w:vAlign w:val="center"/>
          </w:tcPr>
          <w:p w14:paraId="144B097D" w14:textId="77777777" w:rsidR="006D4481" w:rsidRDefault="009B7B04">
            <w:r>
              <w:rPr>
                <w:b/>
                <w:bCs/>
                <w:sz w:val="20"/>
                <w:szCs w:val="20"/>
              </w:rPr>
              <w:t>Invoiced Revenue</w:t>
            </w:r>
          </w:p>
        </w:tc>
        <w:tc>
          <w:tcPr>
            <w:tcW w:w="6000" w:type="dxa"/>
            <w:shd w:val="clear" w:color="FFFFFF" w:fill="FFFFFF"/>
            <w:tcMar>
              <w:top w:w="60" w:type="dxa"/>
              <w:left w:w="120" w:type="dxa"/>
              <w:bottom w:w="60" w:type="dxa"/>
              <w:right w:w="120" w:type="dxa"/>
            </w:tcMar>
            <w:vAlign w:val="center"/>
          </w:tcPr>
          <w:p w14:paraId="1DB7AC2C" w14:textId="77777777" w:rsidR="006D4481" w:rsidRDefault="009B7B04">
            <w:r>
              <w:rPr>
                <w:sz w:val="20"/>
                <w:szCs w:val="20"/>
              </w:rPr>
              <w:t xml:space="preserve">Net invoiced value per </w:t>
            </w:r>
            <w:proofErr w:type="gramStart"/>
            <w:r>
              <w:rPr>
                <w:sz w:val="20"/>
                <w:szCs w:val="20"/>
              </w:rPr>
              <w:t>Accounting</w:t>
            </w:r>
            <w:proofErr w:type="gramEnd"/>
            <w:r>
              <w:rPr>
                <w:sz w:val="20"/>
                <w:szCs w:val="20"/>
              </w:rPr>
              <w:t xml:space="preserve"> records after credit notes. The Accounting figure governs; CRM or departmental figures are for reference only.</w:t>
            </w:r>
          </w:p>
        </w:tc>
      </w:tr>
      <w:tr w:rsidR="006D4481" w14:paraId="57D7D904" w14:textId="77777777" w:rsidTr="00526399">
        <w:trPr>
          <w:trHeight w:val="440"/>
        </w:trPr>
        <w:tc>
          <w:tcPr>
            <w:tcW w:w="3200" w:type="dxa"/>
            <w:shd w:val="clear" w:color="F0E9F9" w:fill="F0E9F9"/>
            <w:tcMar>
              <w:top w:w="60" w:type="dxa"/>
              <w:left w:w="120" w:type="dxa"/>
              <w:bottom w:w="60" w:type="dxa"/>
              <w:right w:w="120" w:type="dxa"/>
            </w:tcMar>
            <w:vAlign w:val="center"/>
          </w:tcPr>
          <w:p w14:paraId="11E7C65E" w14:textId="77777777" w:rsidR="006D4481" w:rsidRDefault="009B7B04">
            <w:r>
              <w:rPr>
                <w:b/>
                <w:bCs/>
                <w:sz w:val="20"/>
                <w:szCs w:val="20"/>
              </w:rPr>
              <w:t>Collected Invoices</w:t>
            </w:r>
          </w:p>
        </w:tc>
        <w:tc>
          <w:tcPr>
            <w:tcW w:w="6000" w:type="dxa"/>
            <w:shd w:val="clear" w:color="F0E9F9" w:fill="F0E9F9"/>
            <w:tcMar>
              <w:top w:w="60" w:type="dxa"/>
              <w:left w:w="120" w:type="dxa"/>
              <w:bottom w:w="60" w:type="dxa"/>
              <w:right w:w="120" w:type="dxa"/>
            </w:tcMar>
            <w:vAlign w:val="center"/>
          </w:tcPr>
          <w:p w14:paraId="03B1D227" w14:textId="76A968F8" w:rsidR="006D4481" w:rsidRDefault="009B7B04">
            <w:r>
              <w:rPr>
                <w:sz w:val="20"/>
                <w:szCs w:val="20"/>
              </w:rPr>
              <w:t xml:space="preserve">Cash actually received against those invoices </w:t>
            </w:r>
            <w:r w:rsidR="009D0E31" w:rsidRPr="009D0E31">
              <w:rPr>
                <w:sz w:val="20"/>
                <w:szCs w:val="20"/>
              </w:rPr>
              <w:t>within ninety (90) days of the invoice date. Amounts received after that ninety (90) day period are excluded from Collected Invoices and do not count towards commission, even if collected in a later quarter</w:t>
            </w:r>
            <w:r>
              <w:rPr>
                <w:sz w:val="20"/>
                <w:szCs w:val="20"/>
              </w:rPr>
              <w:t>.</w:t>
            </w:r>
          </w:p>
        </w:tc>
      </w:tr>
      <w:tr w:rsidR="006D4481" w14:paraId="13B668F3" w14:textId="77777777" w:rsidTr="00526399">
        <w:trPr>
          <w:trHeight w:val="440"/>
        </w:trPr>
        <w:tc>
          <w:tcPr>
            <w:tcW w:w="3200" w:type="dxa"/>
            <w:shd w:val="clear" w:color="FFFFFF" w:fill="FFFFFF"/>
            <w:tcMar>
              <w:top w:w="60" w:type="dxa"/>
              <w:left w:w="120" w:type="dxa"/>
              <w:bottom w:w="60" w:type="dxa"/>
              <w:right w:w="120" w:type="dxa"/>
            </w:tcMar>
            <w:vAlign w:val="center"/>
          </w:tcPr>
          <w:p w14:paraId="0EAD46CC" w14:textId="77777777" w:rsidR="006D4481" w:rsidRDefault="009B7B04">
            <w:r>
              <w:rPr>
                <w:b/>
                <w:bCs/>
                <w:sz w:val="20"/>
                <w:szCs w:val="20"/>
              </w:rPr>
              <w:t>Achievement %</w:t>
            </w:r>
          </w:p>
        </w:tc>
        <w:tc>
          <w:tcPr>
            <w:tcW w:w="6000" w:type="dxa"/>
            <w:shd w:val="clear" w:color="FFFFFF" w:fill="FFFFFF"/>
            <w:tcMar>
              <w:top w:w="60" w:type="dxa"/>
              <w:left w:w="120" w:type="dxa"/>
              <w:bottom w:w="60" w:type="dxa"/>
              <w:right w:w="120" w:type="dxa"/>
            </w:tcMar>
            <w:vAlign w:val="center"/>
          </w:tcPr>
          <w:p w14:paraId="2881B982" w14:textId="77777777" w:rsidR="006D4481" w:rsidRDefault="009B7B04">
            <w:r>
              <w:rPr>
                <w:sz w:val="20"/>
                <w:szCs w:val="20"/>
              </w:rPr>
              <w:t>Invoiced Revenue ÷ Quarterly Target.</w:t>
            </w:r>
          </w:p>
        </w:tc>
      </w:tr>
      <w:tr w:rsidR="006D4481" w14:paraId="3ADBBC4F" w14:textId="77777777" w:rsidTr="00526399">
        <w:trPr>
          <w:trHeight w:val="440"/>
        </w:trPr>
        <w:tc>
          <w:tcPr>
            <w:tcW w:w="3200" w:type="dxa"/>
            <w:shd w:val="clear" w:color="F0E9F9" w:fill="F0E9F9"/>
            <w:tcMar>
              <w:top w:w="60" w:type="dxa"/>
              <w:left w:w="120" w:type="dxa"/>
              <w:bottom w:w="60" w:type="dxa"/>
              <w:right w:w="120" w:type="dxa"/>
            </w:tcMar>
            <w:vAlign w:val="center"/>
          </w:tcPr>
          <w:p w14:paraId="57E4F902" w14:textId="77777777" w:rsidR="006D4481" w:rsidRDefault="009B7B04">
            <w:r>
              <w:rPr>
                <w:b/>
                <w:bCs/>
                <w:sz w:val="20"/>
                <w:szCs w:val="20"/>
              </w:rPr>
              <w:t>Collection Rate %</w:t>
            </w:r>
          </w:p>
        </w:tc>
        <w:tc>
          <w:tcPr>
            <w:tcW w:w="6000" w:type="dxa"/>
            <w:shd w:val="clear" w:color="F0E9F9" w:fill="F0E9F9"/>
            <w:tcMar>
              <w:top w:w="60" w:type="dxa"/>
              <w:left w:w="120" w:type="dxa"/>
              <w:bottom w:w="60" w:type="dxa"/>
              <w:right w:w="120" w:type="dxa"/>
            </w:tcMar>
            <w:vAlign w:val="center"/>
          </w:tcPr>
          <w:p w14:paraId="0631AD8D" w14:textId="77777777" w:rsidR="006D4481" w:rsidRDefault="009B7B04">
            <w:r>
              <w:rPr>
                <w:sz w:val="20"/>
                <w:szCs w:val="20"/>
              </w:rPr>
              <w:t>Collected Invoices ÷ Invoiced Revenue.</w:t>
            </w:r>
          </w:p>
        </w:tc>
      </w:tr>
      <w:tr w:rsidR="006D4481" w14:paraId="2DD58FA3" w14:textId="77777777" w:rsidTr="00526399">
        <w:trPr>
          <w:trHeight w:val="440"/>
        </w:trPr>
        <w:tc>
          <w:tcPr>
            <w:tcW w:w="3200" w:type="dxa"/>
            <w:shd w:val="clear" w:color="FFFFFF" w:fill="FFFFFF"/>
            <w:tcMar>
              <w:top w:w="60" w:type="dxa"/>
              <w:left w:w="120" w:type="dxa"/>
              <w:bottom w:w="60" w:type="dxa"/>
              <w:right w:w="120" w:type="dxa"/>
            </w:tcMar>
            <w:vAlign w:val="center"/>
          </w:tcPr>
          <w:p w14:paraId="1AD4047C" w14:textId="77777777" w:rsidR="006D4481" w:rsidRDefault="009B7B04">
            <w:r>
              <w:rPr>
                <w:b/>
                <w:bCs/>
                <w:sz w:val="20"/>
                <w:szCs w:val="20"/>
              </w:rPr>
              <w:t>Monthly Salary</w:t>
            </w:r>
          </w:p>
        </w:tc>
        <w:tc>
          <w:tcPr>
            <w:tcW w:w="6000" w:type="dxa"/>
            <w:shd w:val="clear" w:color="FFFFFF" w:fill="FFFFFF"/>
            <w:tcMar>
              <w:top w:w="60" w:type="dxa"/>
              <w:left w:w="120" w:type="dxa"/>
              <w:bottom w:w="60" w:type="dxa"/>
              <w:right w:w="120" w:type="dxa"/>
            </w:tcMar>
            <w:vAlign w:val="center"/>
          </w:tcPr>
          <w:p w14:paraId="52BCBE18" w14:textId="77777777" w:rsidR="006D4481" w:rsidRDefault="009B7B04">
            <w:r>
              <w:rPr>
                <w:sz w:val="20"/>
                <w:szCs w:val="20"/>
              </w:rPr>
              <w:t>Basic monthly salary of the employee, used as the unit of commission.</w:t>
            </w:r>
          </w:p>
        </w:tc>
      </w:tr>
    </w:tbl>
    <w:p w14:paraId="00A415D3" w14:textId="77777777" w:rsidR="006D4481" w:rsidRDefault="009B7B04">
      <w:r>
        <w:br w:type="page"/>
      </w:r>
    </w:p>
    <w:p w14:paraId="31E5FAFF" w14:textId="77777777" w:rsidR="006D4481" w:rsidRDefault="009B7B04">
      <w:pPr>
        <w:pStyle w:val="Heading1"/>
        <w:pBdr>
          <w:bottom w:val="single" w:sz="6" w:space="4" w:color="FF671E"/>
        </w:pBdr>
      </w:pPr>
      <w:r>
        <w:lastRenderedPageBreak/>
        <w:t>4. Commission Entitlement</w:t>
      </w:r>
    </w:p>
    <w:p w14:paraId="5EDADD15" w14:textId="77777777" w:rsidR="006D4481" w:rsidRDefault="009B7B04">
      <w:pPr>
        <w:spacing w:after="160" w:line="276" w:lineRule="auto"/>
      </w:pPr>
      <w:r>
        <w:t>Gross entitlement is determined by the employee's Achievement % for the reporting quarter, expressed as a multiple of Monthly Salary:</w:t>
      </w:r>
    </w:p>
    <w:tbl>
      <w:tblPr>
        <w:tblW w:w="9200" w:type="dxa"/>
        <w:tblBorders>
          <w:top w:val="single" w:sz="4" w:space="0" w:color="D9D0EC"/>
          <w:left w:val="single" w:sz="4" w:space="0" w:color="D9D0EC"/>
          <w:bottom w:val="single" w:sz="4" w:space="0" w:color="D9D0EC"/>
          <w:right w:val="single" w:sz="4" w:space="0" w:color="D9D0EC"/>
          <w:insideH w:val="single" w:sz="4" w:space="0" w:color="D9D0EC"/>
          <w:insideV w:val="single" w:sz="4" w:space="0" w:color="D9D0EC"/>
        </w:tblBorders>
        <w:tblCellMar>
          <w:left w:w="10" w:type="dxa"/>
          <w:right w:w="10" w:type="dxa"/>
        </w:tblCellMar>
        <w:tblLook w:val="04A0" w:firstRow="1" w:lastRow="0" w:firstColumn="1" w:lastColumn="0" w:noHBand="0" w:noVBand="1"/>
      </w:tblPr>
      <w:tblGrid>
        <w:gridCol w:w="3500"/>
        <w:gridCol w:w="5700"/>
      </w:tblGrid>
      <w:tr w:rsidR="006D4481" w:rsidRPr="008D069B" w14:paraId="45B177AA" w14:textId="77777777" w:rsidTr="00526399">
        <w:trPr>
          <w:tblHeader/>
        </w:trPr>
        <w:tc>
          <w:tcPr>
            <w:tcW w:w="3500" w:type="dxa"/>
            <w:shd w:val="clear" w:color="450099" w:fill="450099"/>
            <w:tcMar>
              <w:top w:w="60" w:type="dxa"/>
              <w:left w:w="120" w:type="dxa"/>
              <w:bottom w:w="60" w:type="dxa"/>
              <w:right w:w="120" w:type="dxa"/>
            </w:tcMar>
            <w:vAlign w:val="center"/>
          </w:tcPr>
          <w:p w14:paraId="0D6048CF" w14:textId="77777777" w:rsidR="006D4481" w:rsidRPr="008D069B" w:rsidRDefault="009B7B04">
            <w:pPr>
              <w:rPr>
                <w:b/>
                <w:color w:val="FFFFFF"/>
              </w:rPr>
            </w:pPr>
            <w:r w:rsidRPr="008D069B">
              <w:rPr>
                <w:b/>
                <w:bCs/>
                <w:color w:val="FFFFFF"/>
                <w:sz w:val="20"/>
                <w:szCs w:val="20"/>
              </w:rPr>
              <w:t>Achievement %</w:t>
            </w:r>
          </w:p>
        </w:tc>
        <w:tc>
          <w:tcPr>
            <w:tcW w:w="5700" w:type="dxa"/>
            <w:shd w:val="clear" w:color="450099" w:fill="450099"/>
            <w:tcMar>
              <w:top w:w="60" w:type="dxa"/>
              <w:left w:w="120" w:type="dxa"/>
              <w:bottom w:w="60" w:type="dxa"/>
              <w:right w:w="120" w:type="dxa"/>
            </w:tcMar>
            <w:vAlign w:val="center"/>
          </w:tcPr>
          <w:p w14:paraId="41D5E4A5" w14:textId="77777777" w:rsidR="006D4481" w:rsidRPr="008D069B" w:rsidRDefault="009B7B04">
            <w:pPr>
              <w:rPr>
                <w:b/>
                <w:color w:val="FFFFFF"/>
              </w:rPr>
            </w:pPr>
            <w:r w:rsidRPr="008D069B">
              <w:rPr>
                <w:b/>
                <w:bCs/>
                <w:color w:val="FFFFFF"/>
                <w:sz w:val="20"/>
                <w:szCs w:val="20"/>
              </w:rPr>
              <w:t>Gross Entitlement</w:t>
            </w:r>
          </w:p>
        </w:tc>
      </w:tr>
      <w:tr w:rsidR="006D4481" w14:paraId="70C2ED7D" w14:textId="77777777" w:rsidTr="00526399">
        <w:trPr>
          <w:trHeight w:val="440"/>
        </w:trPr>
        <w:tc>
          <w:tcPr>
            <w:tcW w:w="3500" w:type="dxa"/>
            <w:shd w:val="clear" w:color="F0E9F9" w:fill="F0E9F9"/>
            <w:tcMar>
              <w:top w:w="60" w:type="dxa"/>
              <w:left w:w="120" w:type="dxa"/>
              <w:bottom w:w="60" w:type="dxa"/>
              <w:right w:w="120" w:type="dxa"/>
            </w:tcMar>
            <w:vAlign w:val="center"/>
          </w:tcPr>
          <w:p w14:paraId="444899E9" w14:textId="15343C0E" w:rsidR="006D4481" w:rsidRPr="005E6FF8" w:rsidRDefault="00212A5F">
            <w:pPr>
              <w:rPr>
                <w:b/>
              </w:rPr>
            </w:pPr>
            <w:r w:rsidRPr="005E6FF8">
              <w:rPr>
                <w:b/>
                <w:sz w:val="20"/>
                <w:szCs w:val="20"/>
              </w:rPr>
              <w:t>Below 90%</w:t>
            </w:r>
          </w:p>
        </w:tc>
        <w:tc>
          <w:tcPr>
            <w:tcW w:w="5700" w:type="dxa"/>
            <w:shd w:val="clear" w:color="F0E9F9" w:fill="F0E9F9"/>
            <w:tcMar>
              <w:top w:w="60" w:type="dxa"/>
              <w:left w:w="120" w:type="dxa"/>
              <w:bottom w:w="60" w:type="dxa"/>
              <w:right w:w="120" w:type="dxa"/>
            </w:tcMar>
            <w:vAlign w:val="center"/>
          </w:tcPr>
          <w:p w14:paraId="304561BA" w14:textId="77777777" w:rsidR="006D4481" w:rsidRDefault="009B7B04">
            <w:r>
              <w:rPr>
                <w:sz w:val="20"/>
                <w:szCs w:val="20"/>
              </w:rPr>
              <w:t>No commission</w:t>
            </w:r>
          </w:p>
        </w:tc>
      </w:tr>
      <w:tr w:rsidR="00212A5F" w14:paraId="720641AB" w14:textId="77777777" w:rsidTr="00526399">
        <w:trPr>
          <w:trHeight w:val="440"/>
        </w:trPr>
        <w:tc>
          <w:tcPr>
            <w:tcW w:w="3500" w:type="dxa"/>
            <w:shd w:val="clear" w:color="FFFFFF" w:fill="FFFFFF"/>
            <w:tcMar>
              <w:top w:w="60" w:type="dxa"/>
              <w:left w:w="120" w:type="dxa"/>
              <w:bottom w:w="60" w:type="dxa"/>
              <w:right w:w="120" w:type="dxa"/>
            </w:tcMar>
            <w:vAlign w:val="center"/>
          </w:tcPr>
          <w:p w14:paraId="3B8D25F7" w14:textId="7512329B" w:rsidR="00212A5F" w:rsidRPr="005E6FF8" w:rsidRDefault="00212A5F">
            <w:pPr>
              <w:rPr>
                <w:b/>
                <w:color w:val="000000"/>
                <w:sz w:val="20"/>
                <w:szCs w:val="20"/>
              </w:rPr>
            </w:pPr>
            <w:r w:rsidRPr="005E6FF8">
              <w:rPr>
                <w:b/>
                <w:color w:val="000000"/>
                <w:sz w:val="20"/>
                <w:szCs w:val="20"/>
              </w:rPr>
              <w:t>90% to below 100%</w:t>
            </w:r>
          </w:p>
        </w:tc>
        <w:tc>
          <w:tcPr>
            <w:tcW w:w="5700" w:type="dxa"/>
            <w:shd w:val="clear" w:color="FFFFFF" w:fill="FFFFFF"/>
            <w:tcMar>
              <w:top w:w="60" w:type="dxa"/>
              <w:left w:w="120" w:type="dxa"/>
              <w:bottom w:w="60" w:type="dxa"/>
              <w:right w:w="120" w:type="dxa"/>
            </w:tcMar>
            <w:vAlign w:val="center"/>
          </w:tcPr>
          <w:p w14:paraId="30F6401C" w14:textId="562C5D51" w:rsidR="00212A5F" w:rsidRPr="00212A5F" w:rsidRDefault="00212A5F">
            <w:pPr>
              <w:rPr>
                <w:color w:val="000000"/>
                <w:sz w:val="20"/>
                <w:szCs w:val="20"/>
              </w:rPr>
            </w:pPr>
            <w:r w:rsidRPr="00212A5F">
              <w:rPr>
                <w:color w:val="000000"/>
                <w:sz w:val="20"/>
                <w:szCs w:val="20"/>
              </w:rPr>
              <w:t>0.50 × Monthly Salary</w:t>
            </w:r>
          </w:p>
        </w:tc>
      </w:tr>
      <w:tr w:rsidR="006D4481" w14:paraId="5692AB64" w14:textId="77777777" w:rsidTr="00526399">
        <w:trPr>
          <w:trHeight w:val="440"/>
        </w:trPr>
        <w:tc>
          <w:tcPr>
            <w:tcW w:w="3500" w:type="dxa"/>
            <w:shd w:val="clear" w:color="F0E9F9" w:fill="F0E9F9"/>
            <w:tcMar>
              <w:top w:w="60" w:type="dxa"/>
              <w:left w:w="120" w:type="dxa"/>
              <w:bottom w:w="60" w:type="dxa"/>
              <w:right w:w="120" w:type="dxa"/>
            </w:tcMar>
            <w:vAlign w:val="center"/>
          </w:tcPr>
          <w:p w14:paraId="011DDB36" w14:textId="77777777" w:rsidR="006D4481" w:rsidRPr="005E6FF8" w:rsidRDefault="009B7B04">
            <w:pPr>
              <w:rPr>
                <w:b/>
              </w:rPr>
            </w:pPr>
            <w:r w:rsidRPr="005E6FF8">
              <w:rPr>
                <w:b/>
                <w:sz w:val="20"/>
                <w:szCs w:val="20"/>
              </w:rPr>
              <w:t>100%</w:t>
            </w:r>
          </w:p>
        </w:tc>
        <w:tc>
          <w:tcPr>
            <w:tcW w:w="5700" w:type="dxa"/>
            <w:shd w:val="clear" w:color="F0E9F9" w:fill="F0E9F9"/>
            <w:tcMar>
              <w:top w:w="60" w:type="dxa"/>
              <w:left w:w="120" w:type="dxa"/>
              <w:bottom w:w="60" w:type="dxa"/>
              <w:right w:w="120" w:type="dxa"/>
            </w:tcMar>
            <w:vAlign w:val="center"/>
          </w:tcPr>
          <w:p w14:paraId="716F5166" w14:textId="77777777" w:rsidR="006D4481" w:rsidRDefault="009B7B04">
            <w:r>
              <w:rPr>
                <w:sz w:val="20"/>
                <w:szCs w:val="20"/>
              </w:rPr>
              <w:t>1.00 × Monthly Salary</w:t>
            </w:r>
          </w:p>
        </w:tc>
      </w:tr>
      <w:tr w:rsidR="006D4481" w14:paraId="6DF6A0A6" w14:textId="77777777" w:rsidTr="00526399">
        <w:trPr>
          <w:trHeight w:val="440"/>
        </w:trPr>
        <w:tc>
          <w:tcPr>
            <w:tcW w:w="3500" w:type="dxa"/>
            <w:shd w:val="clear" w:color="FFFFFF" w:fill="FFFFFF"/>
            <w:tcMar>
              <w:top w:w="60" w:type="dxa"/>
              <w:left w:w="120" w:type="dxa"/>
              <w:bottom w:w="60" w:type="dxa"/>
              <w:right w:w="120" w:type="dxa"/>
            </w:tcMar>
            <w:vAlign w:val="center"/>
          </w:tcPr>
          <w:p w14:paraId="53C611F0" w14:textId="77777777" w:rsidR="006D4481" w:rsidRPr="005E6FF8" w:rsidRDefault="009B7B04">
            <w:pPr>
              <w:rPr>
                <w:b/>
              </w:rPr>
            </w:pPr>
            <w:r w:rsidRPr="005E6FF8">
              <w:rPr>
                <w:b/>
                <w:sz w:val="20"/>
                <w:szCs w:val="20"/>
              </w:rPr>
              <w:t>Each fully completed additional 10%</w:t>
            </w:r>
          </w:p>
        </w:tc>
        <w:tc>
          <w:tcPr>
            <w:tcW w:w="5700" w:type="dxa"/>
            <w:shd w:val="clear" w:color="FFFFFF" w:fill="FFFFFF"/>
            <w:tcMar>
              <w:top w:w="60" w:type="dxa"/>
              <w:left w:w="120" w:type="dxa"/>
              <w:bottom w:w="60" w:type="dxa"/>
              <w:right w:w="120" w:type="dxa"/>
            </w:tcMar>
            <w:vAlign w:val="center"/>
          </w:tcPr>
          <w:p w14:paraId="70AB12A1" w14:textId="77777777" w:rsidR="006D4481" w:rsidRDefault="009B7B04">
            <w:r>
              <w:rPr>
                <w:sz w:val="20"/>
                <w:szCs w:val="20"/>
              </w:rPr>
              <w:t>+0.10 × Monthly Salary</w:t>
            </w:r>
          </w:p>
        </w:tc>
      </w:tr>
      <w:tr w:rsidR="006D4481" w14:paraId="619327A5" w14:textId="77777777" w:rsidTr="00526399">
        <w:trPr>
          <w:trHeight w:val="440"/>
        </w:trPr>
        <w:tc>
          <w:tcPr>
            <w:tcW w:w="3500" w:type="dxa"/>
            <w:shd w:val="clear" w:color="F0E9F9" w:fill="F0E9F9"/>
            <w:tcMar>
              <w:top w:w="60" w:type="dxa"/>
              <w:left w:w="120" w:type="dxa"/>
              <w:bottom w:w="60" w:type="dxa"/>
              <w:right w:w="120" w:type="dxa"/>
            </w:tcMar>
            <w:vAlign w:val="center"/>
          </w:tcPr>
          <w:p w14:paraId="297DEB61" w14:textId="77777777" w:rsidR="006D4481" w:rsidRPr="005E6FF8" w:rsidRDefault="009B7B04">
            <w:pPr>
              <w:rPr>
                <w:b/>
              </w:rPr>
            </w:pPr>
            <w:r w:rsidRPr="005E6FF8">
              <w:rPr>
                <w:b/>
                <w:sz w:val="20"/>
                <w:szCs w:val="20"/>
              </w:rPr>
              <w:t>Maximum (cap)</w:t>
            </w:r>
          </w:p>
        </w:tc>
        <w:tc>
          <w:tcPr>
            <w:tcW w:w="5700" w:type="dxa"/>
            <w:shd w:val="clear" w:color="F0E9F9" w:fill="F0E9F9"/>
            <w:tcMar>
              <w:top w:w="60" w:type="dxa"/>
              <w:left w:w="120" w:type="dxa"/>
              <w:bottom w:w="60" w:type="dxa"/>
              <w:right w:w="120" w:type="dxa"/>
            </w:tcMar>
            <w:vAlign w:val="center"/>
          </w:tcPr>
          <w:p w14:paraId="5EBBB171" w14:textId="77777777" w:rsidR="006D4481" w:rsidRDefault="009B7B04">
            <w:r>
              <w:rPr>
                <w:sz w:val="20"/>
                <w:szCs w:val="20"/>
              </w:rPr>
              <w:t>2.00 × Monthly Salary per quarter</w:t>
            </w:r>
          </w:p>
        </w:tc>
      </w:tr>
    </w:tbl>
    <w:p w14:paraId="4724884A" w14:textId="31A238D1" w:rsidR="00212A5F" w:rsidRDefault="009B7B04" w:rsidP="005E6FF8">
      <w:pPr>
        <w:spacing w:before="160" w:after="160" w:line="276" w:lineRule="auto"/>
      </w:pPr>
      <w:r>
        <w:t>Only fully completed 10% increments count; partial steps are disregarded. For example, an achievement of 128% is treated as 120% and yields 1.20 × Monthly Salary. The cap of 2.00 × Monthly Salary applies to the final net commission for the quarter.</w:t>
      </w:r>
      <w:r w:rsidR="005E6FF8">
        <w:t xml:space="preserve"> All tiers in the table above, including the 0.50 × Monthly Salary tier for achievement of 90% to below 100%, are subject to the collection adjustment in Section 5.</w:t>
      </w:r>
    </w:p>
    <w:p w14:paraId="6564DED9" w14:textId="15D929C8" w:rsidR="006D4481" w:rsidRPr="00212A5F" w:rsidRDefault="00212A5F" w:rsidP="00212A5F">
      <w:pPr>
        <w:spacing w:line="276" w:lineRule="auto"/>
        <w:rPr>
          <w:color w:val="000000"/>
        </w:rPr>
      </w:pPr>
      <w:r w:rsidRPr="00212A5F">
        <w:rPr>
          <w:color w:val="000000"/>
        </w:rPr>
        <w:t>Where an employee achieves 70% or below of their Quarterly Target for two consecutive quarters, the employee will be referred to Human Resources for performance review, which may result in a Performance Improvement Plan (PIP) or a formal warning. This provision does not apply to newly hired staff with less than six (6) months of service.</w:t>
      </w:r>
    </w:p>
    <w:p w14:paraId="69C618F9" w14:textId="77777777" w:rsidR="006D4481" w:rsidRDefault="009B7B04">
      <w:pPr>
        <w:pStyle w:val="Heading1"/>
        <w:pBdr>
          <w:bottom w:val="single" w:sz="6" w:space="4" w:color="FF671E"/>
        </w:pBdr>
      </w:pPr>
      <w:r>
        <w:t>5. Collection Adjustment</w:t>
      </w:r>
    </w:p>
    <w:p w14:paraId="6FB9091B" w14:textId="77777777" w:rsidR="006D4481" w:rsidRDefault="009B7B04">
      <w:pPr>
        <w:spacing w:after="160" w:line="276" w:lineRule="auto"/>
      </w:pPr>
      <w:r>
        <w:t>Gross entitlement is then scaled by the rate at which invoiced revenue has been collected:</w:t>
      </w:r>
    </w:p>
    <w:p w14:paraId="289F4C4B" w14:textId="77777777" w:rsidR="006D4481" w:rsidRDefault="009B7B04">
      <w:pPr>
        <w:pStyle w:val="ListParagraph"/>
        <w:numPr>
          <w:ilvl w:val="0"/>
          <w:numId w:val="2"/>
        </w:numPr>
        <w:spacing w:after="100" w:line="276" w:lineRule="auto"/>
      </w:pPr>
      <w:r>
        <w:t xml:space="preserve">Collection Factor = </w:t>
      </w:r>
      <w:proofErr w:type="gramStart"/>
      <w:r>
        <w:t>MIN(</w:t>
      </w:r>
      <w:proofErr w:type="gramEnd"/>
      <w:r>
        <w:t>100%, Collection Rate ÷ 90%).</w:t>
      </w:r>
    </w:p>
    <w:p w14:paraId="023E99EA" w14:textId="77777777" w:rsidR="006D4481" w:rsidRDefault="009B7B04">
      <w:pPr>
        <w:pStyle w:val="ListParagraph"/>
        <w:numPr>
          <w:ilvl w:val="0"/>
          <w:numId w:val="2"/>
        </w:numPr>
        <w:spacing w:after="100" w:line="276" w:lineRule="auto"/>
      </w:pPr>
      <w:r>
        <w:t>At a Collection Rate of 90% or above, no reduction applies.</w:t>
      </w:r>
    </w:p>
    <w:p w14:paraId="36A3501E" w14:textId="77777777" w:rsidR="006D4481" w:rsidRDefault="009B7B04">
      <w:pPr>
        <w:pStyle w:val="ListParagraph"/>
        <w:numPr>
          <w:ilvl w:val="0"/>
          <w:numId w:val="2"/>
        </w:numPr>
        <w:spacing w:after="100" w:line="276" w:lineRule="auto"/>
      </w:pPr>
      <w:r>
        <w:t>Below 90%, the gross entitlement is scaled down proportionally. There is no all-or-nothing cliff.</w:t>
      </w:r>
    </w:p>
    <w:p w14:paraId="30B596E1" w14:textId="77777777" w:rsidR="009D0E31" w:rsidRDefault="009B7B04">
      <w:pPr>
        <w:pStyle w:val="ListParagraph"/>
        <w:numPr>
          <w:ilvl w:val="0"/>
          <w:numId w:val="2"/>
        </w:numPr>
        <w:spacing w:after="100" w:line="276" w:lineRule="auto"/>
      </w:pPr>
      <w:r>
        <w:t>Collection-Adjusted Payout = Gross Entitlement × Collection Factor.</w:t>
      </w:r>
    </w:p>
    <w:p w14:paraId="32456BE3" w14:textId="1CD8F2F5" w:rsidR="006D4481" w:rsidRDefault="009D0E31">
      <w:pPr>
        <w:pStyle w:val="ListParagraph"/>
        <w:numPr>
          <w:ilvl w:val="0"/>
          <w:numId w:val="2"/>
        </w:numPr>
        <w:spacing w:after="100" w:line="276" w:lineRule="auto"/>
      </w:pPr>
      <w:r>
        <w:t>Any invoice that remains uncollected ninety (90) days after its invoice date is permanently excluded from Collected Invoices. Collection of that invoice in a later quarter does not restore, revive or create any commission entitlement in respect of it, and no retrospective recalculation will be made.</w:t>
      </w:r>
    </w:p>
    <w:p w14:paraId="512A5FD2" w14:textId="669A2050" w:rsidR="006D4481" w:rsidRDefault="008D069B">
      <w:pPr>
        <w:pStyle w:val="Heading1"/>
        <w:pBdr>
          <w:bottom w:val="single" w:sz="6" w:space="4" w:color="FF671E"/>
        </w:pBdr>
      </w:pPr>
      <w:r>
        <w:t>6.</w:t>
      </w:r>
      <w:r w:rsidR="009B7B04">
        <w:t xml:space="preserve"> Net Commission</w:t>
      </w:r>
    </w:p>
    <w:p w14:paraId="61AAD833" w14:textId="41CE1111" w:rsidR="006D4481" w:rsidRDefault="009B7B04">
      <w:pPr>
        <w:spacing w:after="160" w:line="276" w:lineRule="auto"/>
      </w:pPr>
      <w:r>
        <w:t>Net Commission = Gross Entitlement × Collection Factor, subject to the cap of 2.00 × Monthly Salary per quarter.</w:t>
      </w:r>
    </w:p>
    <w:p w14:paraId="3607407B" w14:textId="77777777" w:rsidR="00526399" w:rsidRDefault="00526399">
      <w:pPr>
        <w:spacing w:after="160" w:line="276" w:lineRule="auto"/>
      </w:pPr>
    </w:p>
    <w:p w14:paraId="7635364C" w14:textId="3A42F0E2" w:rsidR="006D4481" w:rsidRDefault="008D069B" w:rsidP="00766270">
      <w:pPr>
        <w:pStyle w:val="Heading1"/>
        <w:pBdr>
          <w:bottom w:val="single" w:sz="6" w:space="4" w:color="FF671E"/>
        </w:pBdr>
        <w:tabs>
          <w:tab w:val="right" w:pos="9206"/>
        </w:tabs>
      </w:pPr>
      <w:r>
        <w:t>7.</w:t>
      </w:r>
      <w:r w:rsidR="009B7B04">
        <w:t xml:space="preserve"> Measurement Period and Payment Timing</w:t>
      </w:r>
      <w:r w:rsidR="00766270">
        <w:tab/>
      </w:r>
    </w:p>
    <w:p w14:paraId="727105B5" w14:textId="77777777" w:rsidR="006D4481" w:rsidRDefault="009B7B04">
      <w:pPr>
        <w:spacing w:after="160" w:line="276" w:lineRule="auto"/>
      </w:pPr>
      <w:r>
        <w:t>Sales performance and collection performance are measured over different windows:</w:t>
      </w:r>
    </w:p>
    <w:p w14:paraId="74F4D395" w14:textId="77777777" w:rsidR="006D4481" w:rsidRDefault="009B7B04">
      <w:pPr>
        <w:pStyle w:val="ListParagraph"/>
        <w:numPr>
          <w:ilvl w:val="0"/>
          <w:numId w:val="2"/>
        </w:numPr>
        <w:spacing w:after="100" w:line="276" w:lineRule="auto"/>
      </w:pPr>
      <w:r>
        <w:t>Revenue achievement is measured for the reporting quarter itself.</w:t>
      </w:r>
    </w:p>
    <w:p w14:paraId="6F65EB72" w14:textId="77777777" w:rsidR="006D4481" w:rsidRDefault="009B7B04">
      <w:pPr>
        <w:pStyle w:val="ListParagraph"/>
        <w:numPr>
          <w:ilvl w:val="0"/>
          <w:numId w:val="2"/>
        </w:numPr>
        <w:spacing w:after="100" w:line="276" w:lineRule="auto"/>
      </w:pPr>
      <w:r>
        <w:t>Collection performance is not measured at the close of the reporting quarter. A one-quarter collection window is allowed: collections and the Collection Rate for a quarter are measured after the close of the following quarter, capturing all cash received up to that date.</w:t>
      </w:r>
    </w:p>
    <w:p w14:paraId="3406590B" w14:textId="6B72CFFD" w:rsidR="006D4481" w:rsidRDefault="009B7B04">
      <w:pPr>
        <w:pStyle w:val="ListParagraph"/>
        <w:numPr>
          <w:ilvl w:val="0"/>
          <w:numId w:val="2"/>
        </w:numPr>
        <w:spacing w:after="100" w:line="276" w:lineRule="auto"/>
      </w:pPr>
      <w:r>
        <w:t xml:space="preserve">Illustration: for </w:t>
      </w:r>
      <w:r w:rsidR="009D0E31" w:rsidRPr="009D0E31">
        <w:t>any reporting quarter, the Company waits until the following quarter is closed, then calculates the collections and collection ratio relating to that reporting quarter's invoices, subject to the ninety (90) day collection cut-off</w:t>
      </w:r>
      <w:r>
        <w:t>.</w:t>
      </w:r>
    </w:p>
    <w:p w14:paraId="7292D2BC" w14:textId="77777777" w:rsidR="006D4481" w:rsidRDefault="009B7B04">
      <w:pPr>
        <w:pStyle w:val="ListParagraph"/>
        <w:numPr>
          <w:ilvl w:val="0"/>
          <w:numId w:val="2"/>
        </w:numPr>
        <w:spacing w:after="100" w:line="276" w:lineRule="auto"/>
      </w:pPr>
      <w:r>
        <w:t>Finance prepares the calculation, which is then reviewed and approved by management.</w:t>
      </w:r>
    </w:p>
    <w:p w14:paraId="05AB6B0A" w14:textId="5292F1C8" w:rsidR="006D4481" w:rsidRDefault="009B7B04">
      <w:pPr>
        <w:pStyle w:val="ListParagraph"/>
        <w:numPr>
          <w:ilvl w:val="0"/>
          <w:numId w:val="2"/>
        </w:numPr>
        <w:spacing w:after="100" w:line="276" w:lineRule="auto"/>
      </w:pPr>
      <w:r>
        <w:t xml:space="preserve">Approved commission is paid with the next monthly salary following completion of the calculation. </w:t>
      </w:r>
      <w:r w:rsidR="009D0E31" w:rsidRPr="009D0E31">
        <w:t>Commission for a reporting quarter</w:t>
      </w:r>
      <w:r>
        <w:t xml:space="preserve"> is therefore calculated after the close of </w:t>
      </w:r>
      <w:r w:rsidR="009D0E31" w:rsidRPr="009D0E31">
        <w:t>the following quarter</w:t>
      </w:r>
      <w:r>
        <w:t xml:space="preserve"> and paid in the following payroll run.</w:t>
      </w:r>
    </w:p>
    <w:p w14:paraId="1C36121C" w14:textId="0CBEBA56" w:rsidR="006D4481" w:rsidRDefault="008D069B">
      <w:pPr>
        <w:pStyle w:val="Heading1"/>
        <w:pBdr>
          <w:bottom w:val="single" w:sz="6" w:space="4" w:color="FF671E"/>
        </w:pBdr>
      </w:pPr>
      <w:r>
        <w:t>8.</w:t>
      </w:r>
      <w:r w:rsidR="009B7B04">
        <w:t xml:space="preserve"> Eligibility Conditions</w:t>
      </w:r>
    </w:p>
    <w:p w14:paraId="7D1FA956" w14:textId="77777777" w:rsidR="00212A5F" w:rsidRDefault="009B7B04">
      <w:pPr>
        <w:pStyle w:val="ListParagraph"/>
        <w:numPr>
          <w:ilvl w:val="0"/>
          <w:numId w:val="2"/>
        </w:numPr>
        <w:spacing w:after="100" w:line="276" w:lineRule="auto"/>
      </w:pPr>
      <w:r>
        <w:t>The employee must be in active service and not under notice on the payment date, unless otherwise approved by management.</w:t>
      </w:r>
    </w:p>
    <w:p w14:paraId="61618DD8" w14:textId="4E99CB78" w:rsidR="006D4481" w:rsidRDefault="00212A5F">
      <w:pPr>
        <w:pStyle w:val="ListParagraph"/>
        <w:numPr>
          <w:ilvl w:val="0"/>
          <w:numId w:val="2"/>
        </w:numPr>
        <w:spacing w:after="100" w:line="276" w:lineRule="auto"/>
      </w:pPr>
      <w:r>
        <w:t>Employees who resign or are terminated are not entitled to commission during the notice period. The last commission quarter closed prior to the notice date constitutes their final commission payout.</w:t>
      </w:r>
    </w:p>
    <w:p w14:paraId="768B70DB" w14:textId="4CAE97D2" w:rsidR="006D4481" w:rsidRDefault="009B7B04">
      <w:pPr>
        <w:pStyle w:val="ListParagraph"/>
        <w:numPr>
          <w:ilvl w:val="0"/>
          <w:numId w:val="2"/>
        </w:numPr>
        <w:spacing w:after="100" w:line="276" w:lineRule="auto"/>
      </w:pPr>
      <w:r>
        <w:t xml:space="preserve">Targets, salary figures, revenue and </w:t>
      </w:r>
      <w:r w:rsidR="008D069B" w:rsidRPr="008D069B">
        <w:t>collection</w:t>
      </w:r>
      <w:r>
        <w:t xml:space="preserve"> data are taken from approved Company records. The Finance calculation is final.</w:t>
      </w:r>
    </w:p>
    <w:p w14:paraId="5E757625" w14:textId="77777777" w:rsidR="006D4481" w:rsidRDefault="009B7B04">
      <w:pPr>
        <w:pStyle w:val="ListParagraph"/>
        <w:numPr>
          <w:ilvl w:val="0"/>
          <w:numId w:val="2"/>
        </w:numPr>
        <w:spacing w:after="100" w:line="276" w:lineRule="auto"/>
      </w:pPr>
      <w:r>
        <w:t>Credit notes, write-offs, reversals or invoice cancellations arising after payment are recovered from subsequent commission entitlements.</w:t>
      </w:r>
    </w:p>
    <w:p w14:paraId="5B425B8E" w14:textId="18CD72E4" w:rsidR="006D4481" w:rsidRDefault="009B7B04">
      <w:pPr>
        <w:pStyle w:val="ListParagraph"/>
        <w:numPr>
          <w:ilvl w:val="0"/>
          <w:numId w:val="2"/>
        </w:numPr>
        <w:spacing w:after="100" w:line="276" w:lineRule="auto"/>
      </w:pPr>
      <w:r>
        <w:t xml:space="preserve">Commission is not payable on inter-company transactions, or on revenue not </w:t>
      </w:r>
      <w:r w:rsidR="003D5C3B">
        <w:t>recognized</w:t>
      </w:r>
      <w:r>
        <w:t xml:space="preserve"> by </w:t>
      </w:r>
      <w:proofErr w:type="gramStart"/>
      <w:r>
        <w:t>Accounting</w:t>
      </w:r>
      <w:proofErr w:type="gramEnd"/>
      <w:r>
        <w:t>.</w:t>
      </w:r>
    </w:p>
    <w:p w14:paraId="64CE196F" w14:textId="3AC6BAE1" w:rsidR="00F51AB7" w:rsidRPr="00F51AB7" w:rsidRDefault="008D069B">
      <w:pPr>
        <w:pStyle w:val="Heading1"/>
        <w:pBdr>
          <w:bottom w:val="single" w:sz="6" w:space="4" w:color="FF671E"/>
        </w:pBdr>
        <w:rPr>
          <w:bCs w:val="0"/>
          <w:szCs w:val="22"/>
        </w:rPr>
      </w:pPr>
      <w:r>
        <w:rPr>
          <w:bCs w:val="0"/>
          <w:szCs w:val="22"/>
        </w:rPr>
        <w:t>9.</w:t>
      </w:r>
      <w:r w:rsidR="00F51AB7" w:rsidRPr="00F51AB7">
        <w:rPr>
          <w:bCs w:val="0"/>
          <w:szCs w:val="22"/>
        </w:rPr>
        <w:t xml:space="preserve"> Compensation Package Changes</w:t>
      </w:r>
    </w:p>
    <w:p w14:paraId="42EAE3E9" w14:textId="77777777" w:rsidR="00F51AB7" w:rsidRPr="00F51AB7" w:rsidRDefault="00F51AB7" w:rsidP="003D5C3B">
      <w:pPr>
        <w:spacing w:after="160" w:line="276" w:lineRule="auto"/>
        <w:rPr>
          <w:color w:val="000000"/>
        </w:rPr>
      </w:pPr>
      <w:r w:rsidRPr="00F51AB7">
        <w:rPr>
          <w:color w:val="000000"/>
        </w:rPr>
        <w:t>Where an employee's compensation package changes during a commission quarter — including, without limitation, salary adjustments, promotions, or changes to commission eligibility — the commission for that quarter is calculated using the compensation package, including the Monthly Salary, that was in effect during the reporting quarter in which the revenue was earned.</w:t>
      </w:r>
    </w:p>
    <w:p w14:paraId="624A4497" w14:textId="77777777" w:rsidR="00F51AB7" w:rsidRPr="00F51AB7" w:rsidRDefault="00F51AB7" w:rsidP="003D5C3B">
      <w:pPr>
        <w:spacing w:after="160" w:line="276" w:lineRule="auto"/>
        <w:rPr>
          <w:color w:val="000000"/>
        </w:rPr>
      </w:pPr>
      <w:r w:rsidRPr="00F51AB7">
        <w:rPr>
          <w:color w:val="000000"/>
        </w:rPr>
        <w:t>A revised compensation package applies to commission calculations from the beginning of the following commission quarter onwards. It is not applied retroactively to sales achieved in the current quarter.</w:t>
      </w:r>
    </w:p>
    <w:p w14:paraId="145D8CFC" w14:textId="31CC5390" w:rsidR="006D4481" w:rsidRPr="00F51AB7" w:rsidRDefault="008D069B">
      <w:pPr>
        <w:pStyle w:val="Heading1"/>
        <w:pBdr>
          <w:bottom w:val="single" w:sz="6" w:space="4" w:color="FF671E"/>
        </w:pBdr>
      </w:pPr>
      <w:r>
        <w:rPr>
          <w:bCs w:val="0"/>
          <w:szCs w:val="22"/>
        </w:rPr>
        <w:lastRenderedPageBreak/>
        <w:t>10.</w:t>
      </w:r>
      <w:r w:rsidR="00F51AB7" w:rsidRPr="00F51AB7">
        <w:rPr>
          <w:bCs w:val="0"/>
          <w:szCs w:val="22"/>
        </w:rPr>
        <w:t xml:space="preserve"> Governance</w:t>
      </w:r>
    </w:p>
    <w:p w14:paraId="63F64DB3" w14:textId="2DC2468D" w:rsidR="006D4481" w:rsidRDefault="009B7B04">
      <w:pPr>
        <w:spacing w:after="160" w:line="276" w:lineRule="auto"/>
      </w:pPr>
      <w:r>
        <w:t xml:space="preserve">Management reserves the right to amend targets, the entry threshold, the </w:t>
      </w:r>
      <w:r w:rsidR="005E6FF8" w:rsidRPr="005E6FF8">
        <w:t>partial-achievement tier (90% to below 100%), the overachievement step, the payout cap, the collection threshold and the sustained-underperformance review trigger</w:t>
      </w:r>
      <w:r>
        <w:t>, and to amend this policy,</w:t>
      </w:r>
      <w:r w:rsidR="003D5C3B">
        <w:t xml:space="preserve"> </w:t>
      </w:r>
      <w:r>
        <w:t>with prior notice to staff. This policy supersedes any prior commission arrangement, whether written or verbal.</w:t>
      </w:r>
    </w:p>
    <w:p w14:paraId="2779CC59" w14:textId="77777777" w:rsidR="006D4481" w:rsidRDefault="009B7B04">
      <w:pPr>
        <w:pStyle w:val="Heading1"/>
        <w:pBdr>
          <w:bottom w:val="single" w:sz="6" w:space="4" w:color="FF671E"/>
        </w:pBdr>
      </w:pPr>
      <w:r>
        <w:t>Appendix A — Worked Example</w:t>
      </w:r>
    </w:p>
    <w:p w14:paraId="06A14C79" w14:textId="77777777" w:rsidR="006D4481" w:rsidRDefault="009B7B04">
      <w:pPr>
        <w:spacing w:after="160" w:line="276" w:lineRule="auto"/>
      </w:pPr>
      <w:r>
        <w:t>Employee with a Monthly Salary of KWD 800 and a Quarterly Target of KWD 53,087:</w:t>
      </w:r>
    </w:p>
    <w:tbl>
      <w:tblPr>
        <w:tblW w:w="9200" w:type="dxa"/>
        <w:tblBorders>
          <w:top w:val="single" w:sz="4" w:space="0" w:color="D9D0EC"/>
          <w:left w:val="single" w:sz="4" w:space="0" w:color="D9D0EC"/>
          <w:bottom w:val="single" w:sz="4" w:space="0" w:color="D9D0EC"/>
          <w:right w:val="single" w:sz="4" w:space="0" w:color="D9D0EC"/>
          <w:insideH w:val="single" w:sz="4" w:space="0" w:color="D9D0EC"/>
          <w:insideV w:val="single" w:sz="4" w:space="0" w:color="D9D0EC"/>
        </w:tblBorders>
        <w:tblCellMar>
          <w:left w:w="10" w:type="dxa"/>
          <w:right w:w="10" w:type="dxa"/>
        </w:tblCellMar>
        <w:tblLook w:val="04A0" w:firstRow="1" w:lastRow="0" w:firstColumn="1" w:lastColumn="0" w:noHBand="0" w:noVBand="1"/>
      </w:tblPr>
      <w:tblGrid>
        <w:gridCol w:w="3200"/>
        <w:gridCol w:w="3600"/>
        <w:gridCol w:w="2400"/>
      </w:tblGrid>
      <w:tr w:rsidR="006D4481" w:rsidRPr="008D069B" w14:paraId="45AF6FF7" w14:textId="77777777" w:rsidTr="00526399">
        <w:trPr>
          <w:tblHeader/>
        </w:trPr>
        <w:tc>
          <w:tcPr>
            <w:tcW w:w="3200" w:type="dxa"/>
            <w:shd w:val="clear" w:color="450099" w:fill="450099"/>
            <w:tcMar>
              <w:top w:w="60" w:type="dxa"/>
              <w:left w:w="120" w:type="dxa"/>
              <w:bottom w:w="60" w:type="dxa"/>
              <w:right w:w="120" w:type="dxa"/>
            </w:tcMar>
            <w:vAlign w:val="center"/>
          </w:tcPr>
          <w:p w14:paraId="74FF8523" w14:textId="77777777" w:rsidR="006D4481" w:rsidRPr="008D069B" w:rsidRDefault="009B7B04">
            <w:pPr>
              <w:rPr>
                <w:b/>
                <w:color w:val="FFFFFF"/>
              </w:rPr>
            </w:pPr>
            <w:r w:rsidRPr="008D069B">
              <w:rPr>
                <w:b/>
                <w:bCs/>
                <w:color w:val="FFFFFF"/>
                <w:sz w:val="20"/>
                <w:szCs w:val="20"/>
              </w:rPr>
              <w:t>Step</w:t>
            </w:r>
          </w:p>
        </w:tc>
        <w:tc>
          <w:tcPr>
            <w:tcW w:w="3600" w:type="dxa"/>
            <w:shd w:val="clear" w:color="450099" w:fill="450099"/>
            <w:tcMar>
              <w:top w:w="60" w:type="dxa"/>
              <w:left w:w="120" w:type="dxa"/>
              <w:bottom w:w="60" w:type="dxa"/>
              <w:right w:w="120" w:type="dxa"/>
            </w:tcMar>
            <w:vAlign w:val="center"/>
          </w:tcPr>
          <w:p w14:paraId="09A37EFD" w14:textId="77777777" w:rsidR="006D4481" w:rsidRPr="008D069B" w:rsidRDefault="009B7B04">
            <w:pPr>
              <w:rPr>
                <w:b/>
                <w:color w:val="FFFFFF"/>
              </w:rPr>
            </w:pPr>
            <w:r w:rsidRPr="008D069B">
              <w:rPr>
                <w:b/>
                <w:bCs/>
                <w:color w:val="FFFFFF"/>
                <w:sz w:val="20"/>
                <w:szCs w:val="20"/>
              </w:rPr>
              <w:t>Calculation</w:t>
            </w:r>
          </w:p>
        </w:tc>
        <w:tc>
          <w:tcPr>
            <w:tcW w:w="2400" w:type="dxa"/>
            <w:shd w:val="clear" w:color="450099" w:fill="450099"/>
            <w:tcMar>
              <w:top w:w="60" w:type="dxa"/>
              <w:left w:w="120" w:type="dxa"/>
              <w:bottom w:w="60" w:type="dxa"/>
              <w:right w:w="120" w:type="dxa"/>
            </w:tcMar>
            <w:vAlign w:val="center"/>
          </w:tcPr>
          <w:p w14:paraId="604B5958" w14:textId="77777777" w:rsidR="006D4481" w:rsidRPr="008D069B" w:rsidRDefault="009B7B04">
            <w:pPr>
              <w:rPr>
                <w:b/>
                <w:color w:val="FFFFFF"/>
              </w:rPr>
            </w:pPr>
            <w:r w:rsidRPr="008D069B">
              <w:rPr>
                <w:b/>
                <w:bCs/>
                <w:color w:val="FFFFFF"/>
                <w:sz w:val="20"/>
                <w:szCs w:val="20"/>
              </w:rPr>
              <w:t>Result</w:t>
            </w:r>
          </w:p>
        </w:tc>
      </w:tr>
      <w:tr w:rsidR="006D4481" w14:paraId="2AEC6603" w14:textId="77777777" w:rsidTr="00526399">
        <w:trPr>
          <w:trHeight w:val="440"/>
        </w:trPr>
        <w:tc>
          <w:tcPr>
            <w:tcW w:w="3200" w:type="dxa"/>
            <w:shd w:val="clear" w:color="F0E9F9" w:fill="F0E9F9"/>
            <w:tcMar>
              <w:top w:w="60" w:type="dxa"/>
              <w:left w:w="120" w:type="dxa"/>
              <w:bottom w:w="60" w:type="dxa"/>
              <w:right w:w="120" w:type="dxa"/>
            </w:tcMar>
            <w:vAlign w:val="center"/>
          </w:tcPr>
          <w:p w14:paraId="76673F41" w14:textId="77777777" w:rsidR="006D4481" w:rsidRDefault="009B7B04">
            <w:r>
              <w:rPr>
                <w:b/>
                <w:bCs/>
                <w:sz w:val="20"/>
                <w:szCs w:val="20"/>
              </w:rPr>
              <w:t>Invoiced Revenue (after CN)</w:t>
            </w:r>
          </w:p>
        </w:tc>
        <w:tc>
          <w:tcPr>
            <w:tcW w:w="3600" w:type="dxa"/>
            <w:shd w:val="clear" w:color="F0E9F9" w:fill="F0E9F9"/>
            <w:tcMar>
              <w:top w:w="60" w:type="dxa"/>
              <w:left w:w="120" w:type="dxa"/>
              <w:bottom w:w="60" w:type="dxa"/>
              <w:right w:w="120" w:type="dxa"/>
            </w:tcMar>
            <w:vAlign w:val="center"/>
          </w:tcPr>
          <w:p w14:paraId="71F2895C" w14:textId="77777777" w:rsidR="006D4481" w:rsidRDefault="009B7B04">
            <w:r>
              <w:rPr>
                <w:sz w:val="20"/>
                <w:szCs w:val="20"/>
              </w:rPr>
              <w:t>Per Accounting</w:t>
            </w:r>
          </w:p>
        </w:tc>
        <w:tc>
          <w:tcPr>
            <w:tcW w:w="2400" w:type="dxa"/>
            <w:shd w:val="clear" w:color="F0E9F9" w:fill="F0E9F9"/>
            <w:tcMar>
              <w:top w:w="60" w:type="dxa"/>
              <w:left w:w="120" w:type="dxa"/>
              <w:bottom w:w="60" w:type="dxa"/>
              <w:right w:w="120" w:type="dxa"/>
            </w:tcMar>
            <w:vAlign w:val="center"/>
          </w:tcPr>
          <w:p w14:paraId="008C8C3B" w14:textId="77777777" w:rsidR="006D4481" w:rsidRDefault="009B7B04">
            <w:r>
              <w:rPr>
                <w:sz w:val="20"/>
                <w:szCs w:val="20"/>
              </w:rPr>
              <w:t>KWD 74,796</w:t>
            </w:r>
          </w:p>
        </w:tc>
      </w:tr>
      <w:tr w:rsidR="006D4481" w14:paraId="420BE7A5" w14:textId="77777777" w:rsidTr="00526399">
        <w:trPr>
          <w:trHeight w:val="440"/>
        </w:trPr>
        <w:tc>
          <w:tcPr>
            <w:tcW w:w="3200" w:type="dxa"/>
            <w:shd w:val="clear" w:color="FFFFFF" w:fill="FFFFFF"/>
            <w:tcMar>
              <w:top w:w="60" w:type="dxa"/>
              <w:left w:w="120" w:type="dxa"/>
              <w:bottom w:w="60" w:type="dxa"/>
              <w:right w:w="120" w:type="dxa"/>
            </w:tcMar>
            <w:vAlign w:val="center"/>
          </w:tcPr>
          <w:p w14:paraId="4A124BDF" w14:textId="77777777" w:rsidR="006D4481" w:rsidRDefault="009B7B04">
            <w:r>
              <w:rPr>
                <w:b/>
                <w:bCs/>
                <w:sz w:val="20"/>
                <w:szCs w:val="20"/>
              </w:rPr>
              <w:t>Achievement %</w:t>
            </w:r>
          </w:p>
        </w:tc>
        <w:tc>
          <w:tcPr>
            <w:tcW w:w="3600" w:type="dxa"/>
            <w:shd w:val="clear" w:color="FFFFFF" w:fill="FFFFFF"/>
            <w:tcMar>
              <w:top w:w="60" w:type="dxa"/>
              <w:left w:w="120" w:type="dxa"/>
              <w:bottom w:w="60" w:type="dxa"/>
              <w:right w:w="120" w:type="dxa"/>
            </w:tcMar>
            <w:vAlign w:val="center"/>
          </w:tcPr>
          <w:p w14:paraId="3AF573A1" w14:textId="77777777" w:rsidR="006D4481" w:rsidRDefault="009B7B04">
            <w:r>
              <w:rPr>
                <w:sz w:val="20"/>
                <w:szCs w:val="20"/>
              </w:rPr>
              <w:t>74,796 ÷ 53,087</w:t>
            </w:r>
          </w:p>
        </w:tc>
        <w:tc>
          <w:tcPr>
            <w:tcW w:w="2400" w:type="dxa"/>
            <w:shd w:val="clear" w:color="FFFFFF" w:fill="FFFFFF"/>
            <w:tcMar>
              <w:top w:w="60" w:type="dxa"/>
              <w:left w:w="120" w:type="dxa"/>
              <w:bottom w:w="60" w:type="dxa"/>
              <w:right w:w="120" w:type="dxa"/>
            </w:tcMar>
            <w:vAlign w:val="center"/>
          </w:tcPr>
          <w:p w14:paraId="7561BFE7" w14:textId="77777777" w:rsidR="006D4481" w:rsidRDefault="009B7B04">
            <w:r>
              <w:rPr>
                <w:sz w:val="20"/>
                <w:szCs w:val="20"/>
              </w:rPr>
              <w:t>140.9%</w:t>
            </w:r>
          </w:p>
        </w:tc>
      </w:tr>
      <w:tr w:rsidR="006D4481" w14:paraId="31A2F8C0" w14:textId="77777777" w:rsidTr="00526399">
        <w:trPr>
          <w:trHeight w:val="440"/>
        </w:trPr>
        <w:tc>
          <w:tcPr>
            <w:tcW w:w="3200" w:type="dxa"/>
            <w:shd w:val="clear" w:color="F0E9F9" w:fill="F0E9F9"/>
            <w:tcMar>
              <w:top w:w="60" w:type="dxa"/>
              <w:left w:w="120" w:type="dxa"/>
              <w:bottom w:w="60" w:type="dxa"/>
              <w:right w:w="120" w:type="dxa"/>
            </w:tcMar>
            <w:vAlign w:val="center"/>
          </w:tcPr>
          <w:p w14:paraId="5DC27FFA" w14:textId="77777777" w:rsidR="006D4481" w:rsidRDefault="009B7B04">
            <w:r>
              <w:rPr>
                <w:b/>
                <w:bCs/>
                <w:sz w:val="20"/>
                <w:szCs w:val="20"/>
              </w:rPr>
              <w:t>Payout multiple</w:t>
            </w:r>
          </w:p>
        </w:tc>
        <w:tc>
          <w:tcPr>
            <w:tcW w:w="3600" w:type="dxa"/>
            <w:shd w:val="clear" w:color="F0E9F9" w:fill="F0E9F9"/>
            <w:tcMar>
              <w:top w:w="60" w:type="dxa"/>
              <w:left w:w="120" w:type="dxa"/>
              <w:bottom w:w="60" w:type="dxa"/>
              <w:right w:w="120" w:type="dxa"/>
            </w:tcMar>
            <w:vAlign w:val="center"/>
          </w:tcPr>
          <w:p w14:paraId="09B48E43" w14:textId="77777777" w:rsidR="006D4481" w:rsidRDefault="009B7B04">
            <w:r>
              <w:rPr>
                <w:sz w:val="20"/>
                <w:szCs w:val="20"/>
              </w:rPr>
              <w:t>1.00 + (4 completed steps × 0.10)</w:t>
            </w:r>
          </w:p>
        </w:tc>
        <w:tc>
          <w:tcPr>
            <w:tcW w:w="2400" w:type="dxa"/>
            <w:shd w:val="clear" w:color="F0E9F9" w:fill="F0E9F9"/>
            <w:tcMar>
              <w:top w:w="60" w:type="dxa"/>
              <w:left w:w="120" w:type="dxa"/>
              <w:bottom w:w="60" w:type="dxa"/>
              <w:right w:w="120" w:type="dxa"/>
            </w:tcMar>
            <w:vAlign w:val="center"/>
          </w:tcPr>
          <w:p w14:paraId="6EC25E27" w14:textId="77777777" w:rsidR="006D4481" w:rsidRPr="008D069B" w:rsidRDefault="009B7B04">
            <w:r w:rsidRPr="008D069B">
              <w:rPr>
                <w:sz w:val="20"/>
                <w:szCs w:val="20"/>
              </w:rPr>
              <w:t>1.40 × salary</w:t>
            </w:r>
          </w:p>
        </w:tc>
      </w:tr>
      <w:tr w:rsidR="006D4481" w14:paraId="2CFF1AA8" w14:textId="77777777" w:rsidTr="00526399">
        <w:trPr>
          <w:trHeight w:val="440"/>
        </w:trPr>
        <w:tc>
          <w:tcPr>
            <w:tcW w:w="3200" w:type="dxa"/>
            <w:shd w:val="clear" w:color="FFFFFF" w:fill="FFFFFF"/>
            <w:tcMar>
              <w:top w:w="60" w:type="dxa"/>
              <w:left w:w="120" w:type="dxa"/>
              <w:bottom w:w="60" w:type="dxa"/>
              <w:right w:w="120" w:type="dxa"/>
            </w:tcMar>
            <w:vAlign w:val="center"/>
          </w:tcPr>
          <w:p w14:paraId="542DBDE2" w14:textId="77777777" w:rsidR="006D4481" w:rsidRDefault="009B7B04">
            <w:r>
              <w:rPr>
                <w:b/>
                <w:bCs/>
                <w:sz w:val="20"/>
                <w:szCs w:val="20"/>
              </w:rPr>
              <w:t>Gross Entitlement</w:t>
            </w:r>
          </w:p>
        </w:tc>
        <w:tc>
          <w:tcPr>
            <w:tcW w:w="3600" w:type="dxa"/>
            <w:shd w:val="clear" w:color="FFFFFF" w:fill="FFFFFF"/>
            <w:tcMar>
              <w:top w:w="60" w:type="dxa"/>
              <w:left w:w="120" w:type="dxa"/>
              <w:bottom w:w="60" w:type="dxa"/>
              <w:right w:w="120" w:type="dxa"/>
            </w:tcMar>
            <w:vAlign w:val="center"/>
          </w:tcPr>
          <w:p w14:paraId="79DA62A9" w14:textId="77777777" w:rsidR="006D4481" w:rsidRDefault="009B7B04">
            <w:r>
              <w:rPr>
                <w:sz w:val="20"/>
                <w:szCs w:val="20"/>
              </w:rPr>
              <w:t>800 × 1.40</w:t>
            </w:r>
          </w:p>
        </w:tc>
        <w:tc>
          <w:tcPr>
            <w:tcW w:w="2400" w:type="dxa"/>
            <w:shd w:val="clear" w:color="FFFFFF" w:fill="FFFFFF"/>
            <w:tcMar>
              <w:top w:w="60" w:type="dxa"/>
              <w:left w:w="120" w:type="dxa"/>
              <w:bottom w:w="60" w:type="dxa"/>
              <w:right w:w="120" w:type="dxa"/>
            </w:tcMar>
            <w:vAlign w:val="center"/>
          </w:tcPr>
          <w:p w14:paraId="4A07EC3F" w14:textId="77777777" w:rsidR="006D4481" w:rsidRDefault="009B7B04">
            <w:r>
              <w:rPr>
                <w:sz w:val="20"/>
                <w:szCs w:val="20"/>
              </w:rPr>
              <w:t>KWD 1,120</w:t>
            </w:r>
          </w:p>
        </w:tc>
      </w:tr>
      <w:tr w:rsidR="006D4481" w14:paraId="7F9D6AB3" w14:textId="77777777" w:rsidTr="00526399">
        <w:trPr>
          <w:trHeight w:val="440"/>
        </w:trPr>
        <w:tc>
          <w:tcPr>
            <w:tcW w:w="3200" w:type="dxa"/>
            <w:shd w:val="clear" w:color="F0E9F9" w:fill="F0E9F9"/>
            <w:tcMar>
              <w:top w:w="60" w:type="dxa"/>
              <w:left w:w="120" w:type="dxa"/>
              <w:bottom w:w="60" w:type="dxa"/>
              <w:right w:w="120" w:type="dxa"/>
            </w:tcMar>
            <w:vAlign w:val="center"/>
          </w:tcPr>
          <w:p w14:paraId="51AE7CD7" w14:textId="77777777" w:rsidR="006D4481" w:rsidRDefault="009B7B04">
            <w:r>
              <w:rPr>
                <w:b/>
                <w:bCs/>
                <w:sz w:val="20"/>
                <w:szCs w:val="20"/>
              </w:rPr>
              <w:t>Collection Rate</w:t>
            </w:r>
          </w:p>
        </w:tc>
        <w:tc>
          <w:tcPr>
            <w:tcW w:w="3600" w:type="dxa"/>
            <w:shd w:val="clear" w:color="F0E9F9" w:fill="F0E9F9"/>
            <w:tcMar>
              <w:top w:w="60" w:type="dxa"/>
              <w:left w:w="120" w:type="dxa"/>
              <w:bottom w:w="60" w:type="dxa"/>
              <w:right w:w="120" w:type="dxa"/>
            </w:tcMar>
            <w:vAlign w:val="center"/>
          </w:tcPr>
          <w:p w14:paraId="2DF82DD5" w14:textId="72E78779" w:rsidR="006D4481" w:rsidRDefault="008D069B">
            <w:r>
              <w:rPr>
                <w:sz w:val="20"/>
                <w:szCs w:val="20"/>
              </w:rPr>
              <w:t>66,204 ÷ 74,796</w:t>
            </w:r>
          </w:p>
        </w:tc>
        <w:tc>
          <w:tcPr>
            <w:tcW w:w="2400" w:type="dxa"/>
            <w:shd w:val="clear" w:color="F0E9F9" w:fill="F0E9F9"/>
            <w:tcMar>
              <w:top w:w="60" w:type="dxa"/>
              <w:left w:w="120" w:type="dxa"/>
              <w:bottom w:w="60" w:type="dxa"/>
              <w:right w:w="120" w:type="dxa"/>
            </w:tcMar>
            <w:vAlign w:val="center"/>
          </w:tcPr>
          <w:p w14:paraId="2503032C" w14:textId="7501C2B5" w:rsidR="006D4481" w:rsidRDefault="008D069B">
            <w:r>
              <w:rPr>
                <w:sz w:val="20"/>
                <w:szCs w:val="20"/>
              </w:rPr>
              <w:t>88.5%</w:t>
            </w:r>
          </w:p>
        </w:tc>
      </w:tr>
      <w:tr w:rsidR="006D4481" w14:paraId="154BB5A0" w14:textId="77777777" w:rsidTr="00526399">
        <w:trPr>
          <w:trHeight w:val="440"/>
        </w:trPr>
        <w:tc>
          <w:tcPr>
            <w:tcW w:w="3200" w:type="dxa"/>
            <w:shd w:val="clear" w:color="FFFFFF" w:fill="FFFFFF"/>
            <w:tcMar>
              <w:top w:w="60" w:type="dxa"/>
              <w:left w:w="120" w:type="dxa"/>
              <w:bottom w:w="60" w:type="dxa"/>
              <w:right w:w="120" w:type="dxa"/>
            </w:tcMar>
            <w:vAlign w:val="center"/>
          </w:tcPr>
          <w:p w14:paraId="55134C50" w14:textId="77777777" w:rsidR="006D4481" w:rsidRDefault="009B7B04">
            <w:r>
              <w:rPr>
                <w:b/>
                <w:bCs/>
                <w:sz w:val="20"/>
                <w:szCs w:val="20"/>
              </w:rPr>
              <w:t>Collection Factor</w:t>
            </w:r>
          </w:p>
        </w:tc>
        <w:tc>
          <w:tcPr>
            <w:tcW w:w="3600" w:type="dxa"/>
            <w:shd w:val="clear" w:color="FFFFFF" w:fill="FFFFFF"/>
            <w:tcMar>
              <w:top w:w="60" w:type="dxa"/>
              <w:left w:w="120" w:type="dxa"/>
              <w:bottom w:w="60" w:type="dxa"/>
              <w:right w:w="120" w:type="dxa"/>
            </w:tcMar>
            <w:vAlign w:val="center"/>
          </w:tcPr>
          <w:p w14:paraId="6063797E" w14:textId="52AFE3B8" w:rsidR="006D4481" w:rsidRDefault="008D069B">
            <w:proofErr w:type="gramStart"/>
            <w:r>
              <w:rPr>
                <w:sz w:val="20"/>
                <w:szCs w:val="20"/>
              </w:rPr>
              <w:t>MIN(</w:t>
            </w:r>
            <w:proofErr w:type="gramEnd"/>
            <w:r>
              <w:rPr>
                <w:sz w:val="20"/>
                <w:szCs w:val="20"/>
              </w:rPr>
              <w:t>100%, 88.5% ÷ 90%)</w:t>
            </w:r>
          </w:p>
        </w:tc>
        <w:tc>
          <w:tcPr>
            <w:tcW w:w="2400" w:type="dxa"/>
            <w:shd w:val="clear" w:color="FFFFFF" w:fill="FFFFFF"/>
            <w:tcMar>
              <w:top w:w="60" w:type="dxa"/>
              <w:left w:w="120" w:type="dxa"/>
              <w:bottom w:w="60" w:type="dxa"/>
              <w:right w:w="120" w:type="dxa"/>
            </w:tcMar>
            <w:vAlign w:val="center"/>
          </w:tcPr>
          <w:p w14:paraId="6338CE35" w14:textId="1B8EADC2" w:rsidR="006D4481" w:rsidRDefault="008D069B">
            <w:r>
              <w:rPr>
                <w:sz w:val="20"/>
                <w:szCs w:val="20"/>
              </w:rPr>
              <w:t>98.3%</w:t>
            </w:r>
          </w:p>
        </w:tc>
      </w:tr>
      <w:tr w:rsidR="006D4481" w14:paraId="7809FE65" w14:textId="77777777" w:rsidTr="00526399">
        <w:trPr>
          <w:trHeight w:val="440"/>
        </w:trPr>
        <w:tc>
          <w:tcPr>
            <w:tcW w:w="3200" w:type="dxa"/>
            <w:shd w:val="clear" w:color="F0E9F9" w:fill="F0E9F9"/>
            <w:tcMar>
              <w:top w:w="60" w:type="dxa"/>
              <w:left w:w="120" w:type="dxa"/>
              <w:bottom w:w="60" w:type="dxa"/>
              <w:right w:w="120" w:type="dxa"/>
            </w:tcMar>
            <w:vAlign w:val="center"/>
          </w:tcPr>
          <w:p w14:paraId="148383F5" w14:textId="77777777" w:rsidR="006D4481" w:rsidRDefault="009B7B04">
            <w:r>
              <w:rPr>
                <w:b/>
                <w:bCs/>
                <w:sz w:val="20"/>
                <w:szCs w:val="20"/>
              </w:rPr>
              <w:t>Collection-Adjusted Payout</w:t>
            </w:r>
          </w:p>
        </w:tc>
        <w:tc>
          <w:tcPr>
            <w:tcW w:w="3600" w:type="dxa"/>
            <w:shd w:val="clear" w:color="F0E9F9" w:fill="F0E9F9"/>
            <w:tcMar>
              <w:top w:w="60" w:type="dxa"/>
              <w:left w:w="120" w:type="dxa"/>
              <w:bottom w:w="60" w:type="dxa"/>
              <w:right w:w="120" w:type="dxa"/>
            </w:tcMar>
            <w:vAlign w:val="center"/>
          </w:tcPr>
          <w:p w14:paraId="146A16C3" w14:textId="3B8283F9" w:rsidR="006D4481" w:rsidRDefault="008D069B">
            <w:r>
              <w:rPr>
                <w:sz w:val="20"/>
                <w:szCs w:val="20"/>
              </w:rPr>
              <w:t>1,120 × 98.3%</w:t>
            </w:r>
          </w:p>
        </w:tc>
        <w:tc>
          <w:tcPr>
            <w:tcW w:w="2400" w:type="dxa"/>
            <w:shd w:val="clear" w:color="F0E9F9" w:fill="F0E9F9"/>
            <w:tcMar>
              <w:top w:w="60" w:type="dxa"/>
              <w:left w:w="120" w:type="dxa"/>
              <w:bottom w:w="60" w:type="dxa"/>
              <w:right w:w="120" w:type="dxa"/>
            </w:tcMar>
            <w:vAlign w:val="center"/>
          </w:tcPr>
          <w:p w14:paraId="44F7F8A0" w14:textId="3E9AFF58" w:rsidR="006D4481" w:rsidRDefault="008D069B">
            <w:r>
              <w:rPr>
                <w:sz w:val="20"/>
                <w:szCs w:val="20"/>
              </w:rPr>
              <w:t>KWD 1,101</w:t>
            </w:r>
          </w:p>
        </w:tc>
      </w:tr>
      <w:tr w:rsidR="006D4481" w14:paraId="2CC8C6FB" w14:textId="77777777" w:rsidTr="00526399">
        <w:trPr>
          <w:trHeight w:val="440"/>
        </w:trPr>
        <w:tc>
          <w:tcPr>
            <w:tcW w:w="3200" w:type="dxa"/>
            <w:shd w:val="clear" w:color="FFFFFF" w:fill="FFFFFF"/>
            <w:tcMar>
              <w:top w:w="60" w:type="dxa"/>
              <w:left w:w="120" w:type="dxa"/>
              <w:bottom w:w="60" w:type="dxa"/>
              <w:right w:w="120" w:type="dxa"/>
            </w:tcMar>
            <w:vAlign w:val="center"/>
          </w:tcPr>
          <w:p w14:paraId="7B7500E6" w14:textId="77777777" w:rsidR="006D4481" w:rsidRDefault="009B7B04">
            <w:r>
              <w:rPr>
                <w:b/>
                <w:bCs/>
                <w:sz w:val="20"/>
                <w:szCs w:val="20"/>
              </w:rPr>
              <w:t>Quarterly cap</w:t>
            </w:r>
          </w:p>
        </w:tc>
        <w:tc>
          <w:tcPr>
            <w:tcW w:w="3600" w:type="dxa"/>
            <w:shd w:val="clear" w:color="FFFFFF" w:fill="FFFFFF"/>
            <w:tcMar>
              <w:top w:w="60" w:type="dxa"/>
              <w:left w:w="120" w:type="dxa"/>
              <w:bottom w:w="60" w:type="dxa"/>
              <w:right w:w="120" w:type="dxa"/>
            </w:tcMar>
            <w:vAlign w:val="center"/>
          </w:tcPr>
          <w:p w14:paraId="52B07030" w14:textId="77777777" w:rsidR="006D4481" w:rsidRDefault="009B7B04">
            <w:r>
              <w:rPr>
                <w:sz w:val="20"/>
                <w:szCs w:val="20"/>
              </w:rPr>
              <w:t>800 × 2.00</w:t>
            </w:r>
          </w:p>
        </w:tc>
        <w:tc>
          <w:tcPr>
            <w:tcW w:w="2400" w:type="dxa"/>
            <w:shd w:val="clear" w:color="FFFFFF" w:fill="FFFFFF"/>
            <w:tcMar>
              <w:top w:w="60" w:type="dxa"/>
              <w:left w:w="120" w:type="dxa"/>
              <w:bottom w:w="60" w:type="dxa"/>
              <w:right w:w="120" w:type="dxa"/>
            </w:tcMar>
            <w:vAlign w:val="center"/>
          </w:tcPr>
          <w:p w14:paraId="55CCCC5C" w14:textId="77777777" w:rsidR="006D4481" w:rsidRDefault="009B7B04">
            <w:r>
              <w:rPr>
                <w:sz w:val="20"/>
                <w:szCs w:val="20"/>
              </w:rPr>
              <w:t>KWD 1,600</w:t>
            </w:r>
          </w:p>
        </w:tc>
      </w:tr>
      <w:tr w:rsidR="006D4481" w14:paraId="71C31067" w14:textId="77777777" w:rsidTr="00526399">
        <w:trPr>
          <w:trHeight w:val="440"/>
        </w:trPr>
        <w:tc>
          <w:tcPr>
            <w:tcW w:w="3200" w:type="dxa"/>
            <w:shd w:val="clear" w:color="F0E9F9" w:fill="F0E9F9"/>
            <w:tcMar>
              <w:top w:w="60" w:type="dxa"/>
              <w:left w:w="120" w:type="dxa"/>
              <w:bottom w:w="60" w:type="dxa"/>
              <w:right w:w="120" w:type="dxa"/>
            </w:tcMar>
            <w:vAlign w:val="center"/>
          </w:tcPr>
          <w:p w14:paraId="2D8651B1" w14:textId="77777777" w:rsidR="006D4481" w:rsidRDefault="009B7B04">
            <w:r>
              <w:rPr>
                <w:b/>
                <w:bCs/>
                <w:sz w:val="20"/>
                <w:szCs w:val="20"/>
              </w:rPr>
              <w:t>Net Commission payable</w:t>
            </w:r>
          </w:p>
        </w:tc>
        <w:tc>
          <w:tcPr>
            <w:tcW w:w="3600" w:type="dxa"/>
            <w:shd w:val="clear" w:color="F0E9F9" w:fill="F0E9F9"/>
            <w:tcMar>
              <w:top w:w="60" w:type="dxa"/>
              <w:left w:w="120" w:type="dxa"/>
              <w:bottom w:w="60" w:type="dxa"/>
              <w:right w:w="120" w:type="dxa"/>
            </w:tcMar>
            <w:vAlign w:val="center"/>
          </w:tcPr>
          <w:p w14:paraId="14F8CA38" w14:textId="77777777" w:rsidR="006D4481" w:rsidRDefault="009B7B04">
            <w:r>
              <w:rPr>
                <w:sz w:val="20"/>
                <w:szCs w:val="20"/>
              </w:rPr>
              <w:t>Below the cap, so paid in full</w:t>
            </w:r>
          </w:p>
        </w:tc>
        <w:tc>
          <w:tcPr>
            <w:tcW w:w="2400" w:type="dxa"/>
            <w:shd w:val="clear" w:color="F0E9F9" w:fill="F0E9F9"/>
            <w:tcMar>
              <w:top w:w="60" w:type="dxa"/>
              <w:left w:w="120" w:type="dxa"/>
              <w:bottom w:w="60" w:type="dxa"/>
              <w:right w:w="120" w:type="dxa"/>
            </w:tcMar>
            <w:vAlign w:val="center"/>
          </w:tcPr>
          <w:p w14:paraId="277294CC" w14:textId="26FDBD9B" w:rsidR="006D4481" w:rsidRDefault="008D069B">
            <w:r>
              <w:rPr>
                <w:sz w:val="20"/>
                <w:szCs w:val="20"/>
              </w:rPr>
              <w:t>KWD 1,101</w:t>
            </w:r>
          </w:p>
        </w:tc>
      </w:tr>
    </w:tbl>
    <w:p w14:paraId="6907BE42" w14:textId="77777777" w:rsidR="005E6FF8" w:rsidRDefault="005E6FF8">
      <w:pPr>
        <w:spacing w:before="480" w:after="160"/>
        <w:rPr>
          <w:b/>
          <w:bCs/>
          <w:color w:val="450099"/>
          <w:sz w:val="30"/>
          <w:szCs w:val="30"/>
        </w:rPr>
      </w:pPr>
      <w:r>
        <w:rPr>
          <w:b/>
          <w:bCs/>
          <w:color w:val="450099"/>
          <w:sz w:val="30"/>
          <w:szCs w:val="30"/>
        </w:rPr>
        <w:br w:type="page"/>
      </w:r>
    </w:p>
    <w:p w14:paraId="63592565" w14:textId="26D23353" w:rsidR="006D4481" w:rsidRPr="005E6FF8" w:rsidRDefault="009B7B04" w:rsidP="005E6FF8">
      <w:pPr>
        <w:pStyle w:val="Heading1"/>
      </w:pPr>
      <w:r w:rsidRPr="005E6FF8">
        <w:lastRenderedPageBreak/>
        <w:t>Approval</w:t>
      </w:r>
    </w:p>
    <w:p w14:paraId="6DFC75C5" w14:textId="77777777" w:rsidR="006D4481" w:rsidRDefault="009B7B04">
      <w:pPr>
        <w:spacing w:after="160" w:line="276" w:lineRule="auto"/>
      </w:pPr>
      <w:r>
        <w:t>By signing below, the parties confirm this policy has been reviewed and is approved for publication to sales staff.</w:t>
      </w:r>
    </w:p>
    <w:tbl>
      <w:tblPr>
        <w:tblW w:w="9200" w:type="dxa"/>
        <w:tblBorders>
          <w:top w:val="single" w:sz="4" w:space="0" w:color="D9D0EC"/>
          <w:left w:val="single" w:sz="4" w:space="0" w:color="D9D0EC"/>
          <w:bottom w:val="single" w:sz="4" w:space="0" w:color="D9D0EC"/>
          <w:right w:val="single" w:sz="4" w:space="0" w:color="D9D0EC"/>
          <w:insideH w:val="single" w:sz="4" w:space="0" w:color="D9D0EC"/>
          <w:insideV w:val="single" w:sz="4" w:space="0" w:color="D9D0EC"/>
        </w:tblBorders>
        <w:tblCellMar>
          <w:left w:w="10" w:type="dxa"/>
          <w:right w:w="10" w:type="dxa"/>
        </w:tblCellMar>
        <w:tblLook w:val="04A0" w:firstRow="1" w:lastRow="0" w:firstColumn="1" w:lastColumn="0" w:noHBand="0" w:noVBand="1"/>
      </w:tblPr>
      <w:tblGrid>
        <w:gridCol w:w="3100"/>
        <w:gridCol w:w="2000"/>
        <w:gridCol w:w="2500"/>
        <w:gridCol w:w="1600"/>
      </w:tblGrid>
      <w:tr w:rsidR="006D4481" w:rsidRPr="008D069B" w14:paraId="26DDFB9F" w14:textId="77777777" w:rsidTr="00526399">
        <w:trPr>
          <w:tblHeader/>
        </w:trPr>
        <w:tc>
          <w:tcPr>
            <w:tcW w:w="3100" w:type="dxa"/>
            <w:tcBorders>
              <w:bottom w:val="single" w:sz="4" w:space="0" w:color="D9D0EC"/>
            </w:tcBorders>
            <w:shd w:val="clear" w:color="450099" w:fill="450099"/>
            <w:tcMar>
              <w:top w:w="80" w:type="dxa"/>
              <w:left w:w="120" w:type="dxa"/>
              <w:bottom w:w="80" w:type="dxa"/>
              <w:right w:w="120" w:type="dxa"/>
            </w:tcMar>
            <w:vAlign w:val="center"/>
          </w:tcPr>
          <w:p w14:paraId="093EFDDB" w14:textId="77777777" w:rsidR="006D4481" w:rsidRPr="008D069B" w:rsidRDefault="009B7B04">
            <w:pPr>
              <w:rPr>
                <w:b/>
                <w:color w:val="FFFFFF"/>
              </w:rPr>
            </w:pPr>
            <w:r w:rsidRPr="008D069B">
              <w:rPr>
                <w:b/>
                <w:bCs/>
                <w:color w:val="FFFFFF"/>
                <w:sz w:val="20"/>
                <w:szCs w:val="20"/>
              </w:rPr>
              <w:t>Role</w:t>
            </w:r>
          </w:p>
        </w:tc>
        <w:tc>
          <w:tcPr>
            <w:tcW w:w="2000" w:type="dxa"/>
            <w:tcBorders>
              <w:bottom w:val="single" w:sz="4" w:space="0" w:color="D9D0EC"/>
            </w:tcBorders>
            <w:shd w:val="clear" w:color="450099" w:fill="450099"/>
            <w:tcMar>
              <w:top w:w="80" w:type="dxa"/>
              <w:left w:w="120" w:type="dxa"/>
              <w:bottom w:w="80" w:type="dxa"/>
              <w:right w:w="120" w:type="dxa"/>
            </w:tcMar>
            <w:vAlign w:val="center"/>
          </w:tcPr>
          <w:p w14:paraId="509D74A1" w14:textId="77777777" w:rsidR="006D4481" w:rsidRPr="008D069B" w:rsidRDefault="009B7B04">
            <w:pPr>
              <w:rPr>
                <w:b/>
                <w:color w:val="FFFFFF"/>
              </w:rPr>
            </w:pPr>
            <w:r w:rsidRPr="008D069B">
              <w:rPr>
                <w:b/>
                <w:bCs/>
                <w:color w:val="FFFFFF"/>
                <w:sz w:val="20"/>
                <w:szCs w:val="20"/>
              </w:rPr>
              <w:t>Name</w:t>
            </w:r>
          </w:p>
        </w:tc>
        <w:tc>
          <w:tcPr>
            <w:tcW w:w="2500" w:type="dxa"/>
            <w:tcBorders>
              <w:bottom w:val="single" w:sz="4" w:space="0" w:color="D9D0EC"/>
            </w:tcBorders>
            <w:shd w:val="clear" w:color="450099" w:fill="450099"/>
            <w:tcMar>
              <w:top w:w="80" w:type="dxa"/>
              <w:left w:w="120" w:type="dxa"/>
              <w:bottom w:w="80" w:type="dxa"/>
              <w:right w:w="120" w:type="dxa"/>
            </w:tcMar>
            <w:vAlign w:val="center"/>
          </w:tcPr>
          <w:p w14:paraId="43901590" w14:textId="77777777" w:rsidR="006D4481" w:rsidRPr="008D069B" w:rsidRDefault="009B7B04">
            <w:pPr>
              <w:rPr>
                <w:b/>
                <w:color w:val="FFFFFF"/>
              </w:rPr>
            </w:pPr>
            <w:r w:rsidRPr="008D069B">
              <w:rPr>
                <w:b/>
                <w:bCs/>
                <w:color w:val="FFFFFF"/>
                <w:sz w:val="20"/>
                <w:szCs w:val="20"/>
              </w:rPr>
              <w:t>Signature</w:t>
            </w:r>
          </w:p>
        </w:tc>
        <w:tc>
          <w:tcPr>
            <w:tcW w:w="1600" w:type="dxa"/>
            <w:tcBorders>
              <w:bottom w:val="single" w:sz="4" w:space="0" w:color="D9D0EC"/>
            </w:tcBorders>
            <w:shd w:val="clear" w:color="450099" w:fill="450099"/>
            <w:tcMar>
              <w:top w:w="80" w:type="dxa"/>
              <w:left w:w="120" w:type="dxa"/>
              <w:bottom w:w="80" w:type="dxa"/>
              <w:right w:w="120" w:type="dxa"/>
            </w:tcMar>
            <w:vAlign w:val="center"/>
          </w:tcPr>
          <w:p w14:paraId="0997FD52" w14:textId="77777777" w:rsidR="006D4481" w:rsidRPr="008D069B" w:rsidRDefault="009B7B04">
            <w:pPr>
              <w:rPr>
                <w:b/>
                <w:color w:val="FFFFFF"/>
              </w:rPr>
            </w:pPr>
            <w:r w:rsidRPr="008D069B">
              <w:rPr>
                <w:b/>
                <w:bCs/>
                <w:color w:val="FFFFFF"/>
                <w:sz w:val="20"/>
                <w:szCs w:val="20"/>
              </w:rPr>
              <w:t>Date</w:t>
            </w:r>
          </w:p>
        </w:tc>
      </w:tr>
      <w:tr w:rsidR="006D4481" w:rsidRPr="00526399" w14:paraId="2DF48E4B" w14:textId="77777777" w:rsidTr="00526399">
        <w:trPr>
          <w:trHeight w:val="760"/>
        </w:trPr>
        <w:tc>
          <w:tcPr>
            <w:tcW w:w="3100" w:type="dxa"/>
            <w:shd w:val="clear" w:color="FFFFFF" w:fill="F0E9F9"/>
            <w:tcMar>
              <w:top w:w="80" w:type="dxa"/>
              <w:left w:w="120" w:type="dxa"/>
              <w:bottom w:w="80" w:type="dxa"/>
              <w:right w:w="120" w:type="dxa"/>
            </w:tcMar>
            <w:vAlign w:val="center"/>
          </w:tcPr>
          <w:p w14:paraId="2D0ACB85" w14:textId="42D8D2AB" w:rsidR="006D4481" w:rsidRPr="00526399" w:rsidRDefault="009B7B04">
            <w:pPr>
              <w:rPr>
                <w:b/>
                <w:bCs/>
                <w:sz w:val="20"/>
                <w:szCs w:val="20"/>
              </w:rPr>
            </w:pPr>
            <w:r>
              <w:rPr>
                <w:b/>
                <w:bCs/>
                <w:sz w:val="20"/>
                <w:szCs w:val="20"/>
              </w:rPr>
              <w:t xml:space="preserve">Prepared By </w:t>
            </w:r>
          </w:p>
        </w:tc>
        <w:tc>
          <w:tcPr>
            <w:tcW w:w="2000" w:type="dxa"/>
            <w:shd w:val="clear" w:color="FFFFFF" w:fill="F0E9F9"/>
            <w:tcMar>
              <w:top w:w="80" w:type="dxa"/>
              <w:left w:w="120" w:type="dxa"/>
              <w:bottom w:w="80" w:type="dxa"/>
              <w:right w:w="120" w:type="dxa"/>
            </w:tcMar>
            <w:vAlign w:val="center"/>
          </w:tcPr>
          <w:p w14:paraId="122E6F1B" w14:textId="77777777" w:rsidR="006D4481" w:rsidRPr="00526399" w:rsidRDefault="006D4481">
            <w:pPr>
              <w:rPr>
                <w:b/>
                <w:bCs/>
                <w:sz w:val="20"/>
                <w:szCs w:val="20"/>
              </w:rPr>
            </w:pPr>
          </w:p>
        </w:tc>
        <w:tc>
          <w:tcPr>
            <w:tcW w:w="2500" w:type="dxa"/>
            <w:shd w:val="clear" w:color="FFFFFF" w:fill="F0E9F9"/>
            <w:tcMar>
              <w:top w:w="80" w:type="dxa"/>
              <w:left w:w="120" w:type="dxa"/>
              <w:bottom w:w="80" w:type="dxa"/>
              <w:right w:w="120" w:type="dxa"/>
            </w:tcMar>
            <w:vAlign w:val="center"/>
          </w:tcPr>
          <w:p w14:paraId="1A6924B8" w14:textId="77777777" w:rsidR="006D4481" w:rsidRPr="00526399" w:rsidRDefault="006D4481">
            <w:pPr>
              <w:rPr>
                <w:b/>
                <w:bCs/>
                <w:sz w:val="20"/>
                <w:szCs w:val="20"/>
              </w:rPr>
            </w:pPr>
          </w:p>
        </w:tc>
        <w:tc>
          <w:tcPr>
            <w:tcW w:w="1600" w:type="dxa"/>
            <w:shd w:val="clear" w:color="FFFFFF" w:fill="F0E9F9"/>
            <w:tcMar>
              <w:top w:w="80" w:type="dxa"/>
              <w:left w:w="120" w:type="dxa"/>
              <w:bottom w:w="80" w:type="dxa"/>
              <w:right w:w="120" w:type="dxa"/>
            </w:tcMar>
            <w:vAlign w:val="center"/>
          </w:tcPr>
          <w:p w14:paraId="4EB26C60" w14:textId="77777777" w:rsidR="006D4481" w:rsidRPr="00526399" w:rsidRDefault="006D4481">
            <w:pPr>
              <w:rPr>
                <w:b/>
                <w:bCs/>
                <w:sz w:val="20"/>
                <w:szCs w:val="20"/>
              </w:rPr>
            </w:pPr>
          </w:p>
        </w:tc>
      </w:tr>
      <w:tr w:rsidR="006D4481" w14:paraId="67C35F7A" w14:textId="77777777" w:rsidTr="00526399">
        <w:trPr>
          <w:trHeight w:val="760"/>
        </w:trPr>
        <w:tc>
          <w:tcPr>
            <w:tcW w:w="3100" w:type="dxa"/>
            <w:tcBorders>
              <w:bottom w:val="single" w:sz="4" w:space="0" w:color="D9D0EC"/>
            </w:tcBorders>
            <w:shd w:val="clear" w:color="FFFFFF" w:fill="FFFFFF"/>
            <w:tcMar>
              <w:top w:w="80" w:type="dxa"/>
              <w:left w:w="120" w:type="dxa"/>
              <w:bottom w:w="80" w:type="dxa"/>
              <w:right w:w="120" w:type="dxa"/>
            </w:tcMar>
            <w:vAlign w:val="center"/>
          </w:tcPr>
          <w:p w14:paraId="1A03B0E9" w14:textId="080CC831" w:rsidR="006D4481" w:rsidRDefault="009B7B04">
            <w:r>
              <w:rPr>
                <w:b/>
                <w:bCs/>
                <w:sz w:val="20"/>
                <w:szCs w:val="20"/>
              </w:rPr>
              <w:t xml:space="preserve">Reviewed By </w:t>
            </w:r>
          </w:p>
        </w:tc>
        <w:tc>
          <w:tcPr>
            <w:tcW w:w="2000" w:type="dxa"/>
            <w:tcBorders>
              <w:bottom w:val="single" w:sz="4" w:space="0" w:color="D9D0EC"/>
            </w:tcBorders>
            <w:shd w:val="clear" w:color="FFFFFF" w:fill="FFFFFF"/>
            <w:tcMar>
              <w:top w:w="80" w:type="dxa"/>
              <w:left w:w="120" w:type="dxa"/>
              <w:bottom w:w="80" w:type="dxa"/>
              <w:right w:w="120" w:type="dxa"/>
            </w:tcMar>
            <w:vAlign w:val="center"/>
          </w:tcPr>
          <w:p w14:paraId="1AA69012" w14:textId="77777777" w:rsidR="006D4481" w:rsidRDefault="006D4481"/>
        </w:tc>
        <w:tc>
          <w:tcPr>
            <w:tcW w:w="2500" w:type="dxa"/>
            <w:tcBorders>
              <w:bottom w:val="single" w:sz="4" w:space="0" w:color="D9D0EC"/>
            </w:tcBorders>
            <w:shd w:val="clear" w:color="FFFFFF" w:fill="FFFFFF"/>
            <w:tcMar>
              <w:top w:w="80" w:type="dxa"/>
              <w:left w:w="120" w:type="dxa"/>
              <w:bottom w:w="80" w:type="dxa"/>
              <w:right w:w="120" w:type="dxa"/>
            </w:tcMar>
            <w:vAlign w:val="center"/>
          </w:tcPr>
          <w:p w14:paraId="02F1C993" w14:textId="77777777" w:rsidR="006D4481" w:rsidRDefault="006D4481"/>
        </w:tc>
        <w:tc>
          <w:tcPr>
            <w:tcW w:w="1600" w:type="dxa"/>
            <w:tcBorders>
              <w:bottom w:val="single" w:sz="4" w:space="0" w:color="D9D0EC"/>
            </w:tcBorders>
            <w:shd w:val="clear" w:color="FFFFFF" w:fill="FFFFFF"/>
            <w:tcMar>
              <w:top w:w="80" w:type="dxa"/>
              <w:left w:w="120" w:type="dxa"/>
              <w:bottom w:w="80" w:type="dxa"/>
              <w:right w:w="120" w:type="dxa"/>
            </w:tcMar>
            <w:vAlign w:val="center"/>
          </w:tcPr>
          <w:p w14:paraId="10CEC760" w14:textId="77777777" w:rsidR="006D4481" w:rsidRDefault="006D4481"/>
        </w:tc>
      </w:tr>
      <w:tr w:rsidR="006D4481" w14:paraId="4ECCEAF2" w14:textId="77777777" w:rsidTr="00526399">
        <w:trPr>
          <w:trHeight w:val="760"/>
        </w:trPr>
        <w:tc>
          <w:tcPr>
            <w:tcW w:w="3100" w:type="dxa"/>
            <w:shd w:val="clear" w:color="FFFFFF" w:fill="F0E9F9"/>
            <w:tcMar>
              <w:top w:w="80" w:type="dxa"/>
              <w:left w:w="120" w:type="dxa"/>
              <w:bottom w:w="80" w:type="dxa"/>
              <w:right w:w="120" w:type="dxa"/>
            </w:tcMar>
            <w:vAlign w:val="center"/>
          </w:tcPr>
          <w:p w14:paraId="4D32C59A" w14:textId="77777777" w:rsidR="006D4481" w:rsidRDefault="009B7B04">
            <w:r>
              <w:rPr>
                <w:b/>
                <w:bCs/>
                <w:sz w:val="20"/>
                <w:szCs w:val="20"/>
              </w:rPr>
              <w:t>Approved By (Management)</w:t>
            </w:r>
          </w:p>
        </w:tc>
        <w:tc>
          <w:tcPr>
            <w:tcW w:w="2000" w:type="dxa"/>
            <w:shd w:val="clear" w:color="FFFFFF" w:fill="F0E9F9"/>
            <w:tcMar>
              <w:top w:w="80" w:type="dxa"/>
              <w:left w:w="120" w:type="dxa"/>
              <w:bottom w:w="80" w:type="dxa"/>
              <w:right w:w="120" w:type="dxa"/>
            </w:tcMar>
            <w:vAlign w:val="center"/>
          </w:tcPr>
          <w:p w14:paraId="2FD38F92" w14:textId="77777777" w:rsidR="006D4481" w:rsidRDefault="006D4481"/>
        </w:tc>
        <w:tc>
          <w:tcPr>
            <w:tcW w:w="2500" w:type="dxa"/>
            <w:shd w:val="clear" w:color="FFFFFF" w:fill="F0E9F9"/>
            <w:tcMar>
              <w:top w:w="80" w:type="dxa"/>
              <w:left w:w="120" w:type="dxa"/>
              <w:bottom w:w="80" w:type="dxa"/>
              <w:right w:w="120" w:type="dxa"/>
            </w:tcMar>
            <w:vAlign w:val="center"/>
          </w:tcPr>
          <w:p w14:paraId="623799B8" w14:textId="77777777" w:rsidR="006D4481" w:rsidRDefault="006D4481"/>
        </w:tc>
        <w:tc>
          <w:tcPr>
            <w:tcW w:w="1600" w:type="dxa"/>
            <w:shd w:val="clear" w:color="FFFFFF" w:fill="F0E9F9"/>
            <w:tcMar>
              <w:top w:w="80" w:type="dxa"/>
              <w:left w:w="120" w:type="dxa"/>
              <w:bottom w:w="80" w:type="dxa"/>
              <w:right w:w="120" w:type="dxa"/>
            </w:tcMar>
            <w:vAlign w:val="center"/>
          </w:tcPr>
          <w:p w14:paraId="0A112534" w14:textId="77777777" w:rsidR="006D4481" w:rsidRDefault="006D4481"/>
        </w:tc>
      </w:tr>
    </w:tbl>
    <w:p w14:paraId="265E2274" w14:textId="77777777" w:rsidR="003A5089" w:rsidRPr="005E6FF8" w:rsidRDefault="003A5089" w:rsidP="005E6FF8">
      <w:pPr>
        <w:spacing w:line="20" w:lineRule="auto"/>
        <w:rPr>
          <w:sz w:val="2"/>
        </w:rPr>
      </w:pPr>
    </w:p>
    <w:sectPr w:rsidR="003A5089" w:rsidRPr="005E6FF8">
      <w:headerReference w:type="default" r:id="rId14"/>
      <w:footerReference w:type="default" r:id="rId15"/>
      <w:pgSz w:w="11906" w:h="16838"/>
      <w:pgMar w:top="1440" w:right="1350" w:bottom="1440" w:left="135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E5A16" w14:textId="77777777" w:rsidR="00F67DD4" w:rsidRDefault="00F67DD4">
      <w:r>
        <w:separator/>
      </w:r>
    </w:p>
  </w:endnote>
  <w:endnote w:type="continuationSeparator" w:id="0">
    <w:p w14:paraId="46CA366D" w14:textId="77777777" w:rsidR="00F67DD4" w:rsidRDefault="00F67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B0542" w14:textId="77777777" w:rsidR="00F51AB7" w:rsidRDefault="00F51A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B38F9" w14:textId="77777777" w:rsidR="006D4481" w:rsidRDefault="006D448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A252B" w14:textId="77777777" w:rsidR="00F51AB7" w:rsidRDefault="00F51A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FB3F3" w14:textId="77777777" w:rsidR="006D4481" w:rsidRDefault="009B7B04">
    <w:pPr>
      <w:pBdr>
        <w:top w:val="single" w:sz="4" w:space="4" w:color="FF671E"/>
      </w:pBdr>
      <w:tabs>
        <w:tab w:val="right" w:pos="9040"/>
      </w:tabs>
    </w:pPr>
    <w:r>
      <w:rPr>
        <w:color w:val="595959"/>
        <w:sz w:val="18"/>
        <w:szCs w:val="18"/>
      </w:rPr>
      <w:t>Internal — Sales Staff</w:t>
    </w:r>
    <w:r>
      <w:rPr>
        <w:color w:val="595959"/>
        <w:sz w:val="18"/>
        <w:szCs w:val="18"/>
      </w:rPr>
      <w:tab/>
      <w:t xml:space="preserve">Page </w:t>
    </w:r>
    <w:r>
      <w:rPr>
        <w:color w:val="595959"/>
        <w:sz w:val="18"/>
        <w:szCs w:val="18"/>
      </w:rPr>
      <w:fldChar w:fldCharType="begin"/>
    </w:r>
    <w:r>
      <w:rPr>
        <w:color w:val="595959"/>
        <w:sz w:val="18"/>
        <w:szCs w:val="18"/>
      </w:rPr>
      <w:instrText>PAGE</w:instrText>
    </w:r>
    <w:r>
      <w:rPr>
        <w:color w:val="595959"/>
        <w:sz w:val="18"/>
        <w:szCs w:val="18"/>
      </w:rPr>
      <w:fldChar w:fldCharType="separate"/>
    </w:r>
    <w:r w:rsidR="00397DF6">
      <w:rPr>
        <w:noProof/>
        <w:color w:val="595959"/>
        <w:sz w:val="18"/>
        <w:szCs w:val="18"/>
      </w:rPr>
      <w:t>3</w:t>
    </w:r>
    <w:r>
      <w:rPr>
        <w:color w:val="595959"/>
        <w:sz w:val="18"/>
        <w:szCs w:val="18"/>
      </w:rPr>
      <w:fldChar w:fldCharType="end"/>
    </w:r>
    <w:r>
      <w:rPr>
        <w:color w:val="595959"/>
        <w:sz w:val="18"/>
        <w:szCs w:val="18"/>
      </w:rPr>
      <w:t xml:space="preserve"> of </w:t>
    </w:r>
    <w:r>
      <w:rPr>
        <w:color w:val="595959"/>
        <w:sz w:val="18"/>
        <w:szCs w:val="18"/>
      </w:rPr>
      <w:fldChar w:fldCharType="begin"/>
    </w:r>
    <w:r>
      <w:rPr>
        <w:color w:val="595959"/>
        <w:sz w:val="18"/>
        <w:szCs w:val="18"/>
      </w:rPr>
      <w:instrText>NUMPAGES</w:instrText>
    </w:r>
    <w:r>
      <w:rPr>
        <w:color w:val="595959"/>
        <w:sz w:val="18"/>
        <w:szCs w:val="18"/>
      </w:rPr>
      <w:fldChar w:fldCharType="separate"/>
    </w:r>
    <w:r w:rsidR="00397DF6">
      <w:rPr>
        <w:noProof/>
        <w:color w:val="595959"/>
        <w:sz w:val="18"/>
        <w:szCs w:val="18"/>
      </w:rPr>
      <w:t>4</w:t>
    </w:r>
    <w:r>
      <w:rPr>
        <w:color w:val="59595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DBC92" w14:textId="77777777" w:rsidR="00F67DD4" w:rsidRDefault="00F67DD4">
      <w:r>
        <w:separator/>
      </w:r>
    </w:p>
  </w:footnote>
  <w:footnote w:type="continuationSeparator" w:id="0">
    <w:p w14:paraId="239A8BBC" w14:textId="77777777" w:rsidR="00F67DD4" w:rsidRDefault="00F67D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EAF83" w14:textId="77777777" w:rsidR="00F51AB7" w:rsidRDefault="00F51A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E7B0A" w14:textId="77777777" w:rsidR="006D4481" w:rsidRDefault="006D448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BFF08" w14:textId="77777777" w:rsidR="00F51AB7" w:rsidRDefault="00F51A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9E44F" w14:textId="79EA6E95" w:rsidR="006D4481" w:rsidRDefault="009B7B04">
    <w:pPr>
      <w:pBdr>
        <w:bottom w:val="single" w:sz="4" w:space="4" w:color="FF671E"/>
      </w:pBdr>
      <w:tabs>
        <w:tab w:val="right" w:pos="9040"/>
      </w:tabs>
    </w:pPr>
    <w:r>
      <w:rPr>
        <w:noProof/>
      </w:rPr>
      <w:drawing>
        <wp:inline distT="0" distB="0" distL="0" distR="0" wp14:anchorId="2A7AC257" wp14:editId="427E5F2B">
          <wp:extent cx="590550" cy="238125"/>
          <wp:effectExtent l="0" t="0" r="0" b="0"/>
          <wp:docPr id="488153787" name="Picture 488153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90550" cy="238125"/>
                  </a:xfrm>
                  <a:prstGeom prst="rect">
                    <a:avLst/>
                  </a:prstGeom>
                </pic:spPr>
              </pic:pic>
            </a:graphicData>
          </a:graphic>
        </wp:inline>
      </w:drawing>
    </w:r>
    <w:r>
      <w:rPr>
        <w:color w:val="595959"/>
        <w:sz w:val="18"/>
        <w:szCs w:val="18"/>
      </w:rPr>
      <w:t xml:space="preserve">  </w:t>
    </w:r>
    <w:r w:rsidR="003D5C3B" w:rsidRPr="003D5C3B">
      <w:rPr>
        <w:sz w:val="18"/>
        <w:szCs w:val="18"/>
      </w:rPr>
      <w:t xml:space="preserve">HR Policy | </w:t>
    </w:r>
    <w:r w:rsidRPr="003D5C3B">
      <w:rPr>
        <w:color w:val="595959"/>
        <w:sz w:val="18"/>
        <w:szCs w:val="18"/>
      </w:rPr>
      <w:t>Sales Commission Policy</w:t>
    </w:r>
    <w:r>
      <w:rPr>
        <w:color w:val="595959"/>
        <w:sz w:val="18"/>
        <w:szCs w:val="18"/>
      </w:rPr>
      <w:tab/>
      <w:t>Version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26419"/>
    <w:multiLevelType w:val="hybridMultilevel"/>
    <w:tmpl w:val="BD5E36A4"/>
    <w:lvl w:ilvl="0" w:tplc="8424E6C4">
      <w:start w:val="1"/>
      <w:numFmt w:val="bullet"/>
      <w:lvlText w:val="●"/>
      <w:lvlJc w:val="left"/>
      <w:pPr>
        <w:ind w:left="720" w:hanging="360"/>
      </w:pPr>
    </w:lvl>
    <w:lvl w:ilvl="1" w:tplc="80A24074">
      <w:start w:val="1"/>
      <w:numFmt w:val="bullet"/>
      <w:lvlText w:val="○"/>
      <w:lvlJc w:val="left"/>
      <w:pPr>
        <w:ind w:left="1440" w:hanging="360"/>
      </w:pPr>
    </w:lvl>
    <w:lvl w:ilvl="2" w:tplc="FD0E931A">
      <w:start w:val="1"/>
      <w:numFmt w:val="bullet"/>
      <w:lvlText w:val="■"/>
      <w:lvlJc w:val="left"/>
      <w:pPr>
        <w:ind w:left="2160" w:hanging="360"/>
      </w:pPr>
    </w:lvl>
    <w:lvl w:ilvl="3" w:tplc="E67A8F6C">
      <w:start w:val="1"/>
      <w:numFmt w:val="bullet"/>
      <w:lvlText w:val="●"/>
      <w:lvlJc w:val="left"/>
      <w:pPr>
        <w:ind w:left="2880" w:hanging="360"/>
      </w:pPr>
    </w:lvl>
    <w:lvl w:ilvl="4" w:tplc="8ECA4CD0">
      <w:start w:val="1"/>
      <w:numFmt w:val="bullet"/>
      <w:lvlText w:val="○"/>
      <w:lvlJc w:val="left"/>
      <w:pPr>
        <w:ind w:left="3600" w:hanging="360"/>
      </w:pPr>
    </w:lvl>
    <w:lvl w:ilvl="5" w:tplc="51582B10">
      <w:start w:val="1"/>
      <w:numFmt w:val="bullet"/>
      <w:lvlText w:val="■"/>
      <w:lvlJc w:val="left"/>
      <w:pPr>
        <w:ind w:left="4320" w:hanging="360"/>
      </w:pPr>
    </w:lvl>
    <w:lvl w:ilvl="6" w:tplc="4DE82730">
      <w:start w:val="1"/>
      <w:numFmt w:val="bullet"/>
      <w:lvlText w:val="●"/>
      <w:lvlJc w:val="left"/>
      <w:pPr>
        <w:ind w:left="5040" w:hanging="360"/>
      </w:pPr>
    </w:lvl>
    <w:lvl w:ilvl="7" w:tplc="E34C9E56">
      <w:start w:val="1"/>
      <w:numFmt w:val="bullet"/>
      <w:lvlText w:val="●"/>
      <w:lvlJc w:val="left"/>
      <w:pPr>
        <w:ind w:left="5760" w:hanging="360"/>
      </w:pPr>
    </w:lvl>
    <w:lvl w:ilvl="8" w:tplc="D0E8153C">
      <w:start w:val="1"/>
      <w:numFmt w:val="bullet"/>
      <w:lvlText w:val="●"/>
      <w:lvlJc w:val="left"/>
      <w:pPr>
        <w:ind w:left="6480" w:hanging="360"/>
      </w:pPr>
    </w:lvl>
  </w:abstractNum>
  <w:abstractNum w:abstractNumId="1" w15:restartNumberingAfterBreak="0">
    <w:nsid w:val="639E70D7"/>
    <w:multiLevelType w:val="hybridMultilevel"/>
    <w:tmpl w:val="68D8A27E"/>
    <w:lvl w:ilvl="0" w:tplc="5E3CA7EC">
      <w:start w:val="1"/>
      <w:numFmt w:val="bullet"/>
      <w:lvlText w:val="•"/>
      <w:lvlJc w:val="left"/>
      <w:pPr>
        <w:ind w:left="460" w:hanging="260"/>
      </w:pPr>
    </w:lvl>
    <w:lvl w:ilvl="1" w:tplc="AC5A729C">
      <w:numFmt w:val="decimal"/>
      <w:lvlText w:val=""/>
      <w:lvlJc w:val="left"/>
    </w:lvl>
    <w:lvl w:ilvl="2" w:tplc="4A6C5FA2">
      <w:numFmt w:val="decimal"/>
      <w:lvlText w:val=""/>
      <w:lvlJc w:val="left"/>
    </w:lvl>
    <w:lvl w:ilvl="3" w:tplc="383805C0">
      <w:numFmt w:val="decimal"/>
      <w:lvlText w:val=""/>
      <w:lvlJc w:val="left"/>
    </w:lvl>
    <w:lvl w:ilvl="4" w:tplc="149AB956">
      <w:numFmt w:val="decimal"/>
      <w:lvlText w:val=""/>
      <w:lvlJc w:val="left"/>
    </w:lvl>
    <w:lvl w:ilvl="5" w:tplc="AC2A51E8">
      <w:numFmt w:val="decimal"/>
      <w:lvlText w:val=""/>
      <w:lvlJc w:val="left"/>
    </w:lvl>
    <w:lvl w:ilvl="6" w:tplc="840C3954">
      <w:numFmt w:val="decimal"/>
      <w:lvlText w:val=""/>
      <w:lvlJc w:val="left"/>
    </w:lvl>
    <w:lvl w:ilvl="7" w:tplc="DC46F818">
      <w:numFmt w:val="decimal"/>
      <w:lvlText w:val=""/>
      <w:lvlJc w:val="left"/>
    </w:lvl>
    <w:lvl w:ilvl="8" w:tplc="6700EBAA">
      <w:numFmt w:val="decimal"/>
      <w:lvlText w:val=""/>
      <w:lvlJc w:val="left"/>
    </w:lvl>
  </w:abstractNum>
  <w:num w:numId="1" w16cid:durableId="1166746381">
    <w:abstractNumId w:val="0"/>
    <w:lvlOverride w:ilvl="0">
      <w:startOverride w:val="1"/>
    </w:lvlOverride>
  </w:num>
  <w:num w:numId="2" w16cid:durableId="90298720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481"/>
    <w:rsid w:val="00212A5F"/>
    <w:rsid w:val="00291B18"/>
    <w:rsid w:val="002C3A99"/>
    <w:rsid w:val="003170BA"/>
    <w:rsid w:val="00350E3B"/>
    <w:rsid w:val="00397DF6"/>
    <w:rsid w:val="003A5089"/>
    <w:rsid w:val="003D5C3B"/>
    <w:rsid w:val="0045063B"/>
    <w:rsid w:val="00526399"/>
    <w:rsid w:val="005E6FF8"/>
    <w:rsid w:val="006D4481"/>
    <w:rsid w:val="00766270"/>
    <w:rsid w:val="007C57E2"/>
    <w:rsid w:val="007D136E"/>
    <w:rsid w:val="008D069B"/>
    <w:rsid w:val="00922BA4"/>
    <w:rsid w:val="009B7B04"/>
    <w:rsid w:val="009D0E31"/>
    <w:rsid w:val="00A57703"/>
    <w:rsid w:val="00B412F4"/>
    <w:rsid w:val="00B705E4"/>
    <w:rsid w:val="00BA257B"/>
    <w:rsid w:val="00BD439A"/>
    <w:rsid w:val="00E13F8C"/>
    <w:rsid w:val="00F213B2"/>
    <w:rsid w:val="00F51AB7"/>
    <w:rsid w:val="00F67DD4"/>
    <w:rsid w:val="00FA65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A98DE"/>
  <w15:docId w15:val="{1A3AC312-73C5-45D9-9117-C59CA5819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60" w:after="160"/>
      <w:outlineLvl w:val="0"/>
    </w:pPr>
    <w:rPr>
      <w:b/>
      <w:bCs/>
      <w:color w:val="450099"/>
      <w:sz w:val="30"/>
      <w:szCs w:val="30"/>
    </w:rPr>
  </w:style>
  <w:style w:type="paragraph" w:styleId="Heading2">
    <w:name w:val="heading 2"/>
    <w:uiPriority w:val="9"/>
    <w:semiHidden/>
    <w:unhideWhenUsed/>
    <w:qFormat/>
    <w:pPr>
      <w:spacing w:before="240" w:after="120"/>
      <w:outlineLvl w:val="1"/>
    </w:pPr>
    <w:rPr>
      <w:b/>
      <w:bCs/>
      <w:color w:val="450099"/>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51AB7"/>
    <w:pPr>
      <w:tabs>
        <w:tab w:val="center" w:pos="4680"/>
        <w:tab w:val="right" w:pos="9360"/>
      </w:tabs>
    </w:pPr>
  </w:style>
  <w:style w:type="character" w:customStyle="1" w:styleId="HeaderChar">
    <w:name w:val="Header Char"/>
    <w:basedOn w:val="DefaultParagraphFont"/>
    <w:link w:val="Header"/>
    <w:uiPriority w:val="99"/>
    <w:rsid w:val="00F51AB7"/>
  </w:style>
  <w:style w:type="paragraph" w:styleId="Footer">
    <w:name w:val="footer"/>
    <w:basedOn w:val="Normal"/>
    <w:link w:val="FooterChar"/>
    <w:uiPriority w:val="99"/>
    <w:unhideWhenUsed/>
    <w:rsid w:val="00F51AB7"/>
    <w:pPr>
      <w:tabs>
        <w:tab w:val="center" w:pos="4680"/>
        <w:tab w:val="right" w:pos="9360"/>
      </w:tabs>
    </w:pPr>
  </w:style>
  <w:style w:type="character" w:customStyle="1" w:styleId="FooterChar">
    <w:name w:val="Footer Char"/>
    <w:basedOn w:val="DefaultParagraphFont"/>
    <w:link w:val="Footer"/>
    <w:uiPriority w:val="99"/>
    <w:rsid w:val="00F51AB7"/>
  </w:style>
  <w:style w:type="paragraph" w:styleId="Subtitle">
    <w:name w:val="Subtitle"/>
    <w:basedOn w:val="Normal"/>
    <w:next w:val="Normal"/>
    <w:link w:val="SubtitleChar"/>
    <w:uiPriority w:val="11"/>
    <w:qFormat/>
    <w:rsid w:val="007C57E2"/>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7C57E2"/>
    <w:rPr>
      <w:rFonts w:asciiTheme="minorHAnsi" w:eastAsiaTheme="minorEastAsia" w:hAnsiTheme="minorHAnsi" w:cstheme="minorBidi"/>
      <w:color w:val="5A5A5A" w:themeColor="text1" w:themeTint="A5"/>
      <w:spacing w:val="15"/>
    </w:rPr>
  </w:style>
  <w:style w:type="character" w:styleId="CommentReference">
    <w:name w:val="annotation reference"/>
    <w:basedOn w:val="DefaultParagraphFont"/>
    <w:uiPriority w:val="99"/>
    <w:semiHidden/>
    <w:unhideWhenUsed/>
    <w:rsid w:val="00526399"/>
    <w:rPr>
      <w:sz w:val="16"/>
      <w:szCs w:val="16"/>
    </w:rPr>
  </w:style>
  <w:style w:type="paragraph" w:styleId="CommentText">
    <w:name w:val="annotation text"/>
    <w:basedOn w:val="Normal"/>
    <w:link w:val="CommentTextChar"/>
    <w:uiPriority w:val="99"/>
    <w:semiHidden/>
    <w:unhideWhenUsed/>
    <w:rsid w:val="00526399"/>
    <w:rPr>
      <w:sz w:val="20"/>
      <w:szCs w:val="20"/>
    </w:rPr>
  </w:style>
  <w:style w:type="character" w:customStyle="1" w:styleId="CommentTextChar">
    <w:name w:val="Comment Text Char"/>
    <w:basedOn w:val="DefaultParagraphFont"/>
    <w:link w:val="CommentText"/>
    <w:uiPriority w:val="99"/>
    <w:semiHidden/>
    <w:rsid w:val="00526399"/>
    <w:rPr>
      <w:sz w:val="20"/>
      <w:szCs w:val="20"/>
    </w:rPr>
  </w:style>
  <w:style w:type="paragraph" w:styleId="CommentSubject">
    <w:name w:val="annotation subject"/>
    <w:basedOn w:val="CommentText"/>
    <w:next w:val="CommentText"/>
    <w:link w:val="CommentSubjectChar"/>
    <w:uiPriority w:val="99"/>
    <w:semiHidden/>
    <w:unhideWhenUsed/>
    <w:rsid w:val="00526399"/>
    <w:rPr>
      <w:b/>
      <w:bCs/>
    </w:rPr>
  </w:style>
  <w:style w:type="character" w:customStyle="1" w:styleId="CommentSubjectChar">
    <w:name w:val="Comment Subject Char"/>
    <w:basedOn w:val="CommentTextChar"/>
    <w:link w:val="CommentSubject"/>
    <w:uiPriority w:val="99"/>
    <w:semiHidden/>
    <w:rsid w:val="005263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D3FA063-C009-4AD0-83ED-73C1695FD056}">
  <we:reference id="WA200010725" version="1.0.0.1" store="Omex" storeType="OMEX"/>
  <we:alternateReferences>
    <we:reference id="WA200010725" version="1.0.0.1" store="WA200010725" storeType="OMEX"/>
  </we:alternateReferences>
  <we:properties>
    <we:property name="claude.fileId" value="&quot;ac76b6eb-a01e-4319-a388-3274bd235bc7&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7</Pages>
  <Words>1063</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Mahmoud Fuad Abugharbieh</cp:lastModifiedBy>
  <cp:revision>2</cp:revision>
  <cp:lastPrinted>2026-08-08T05:53:00Z</cp:lastPrinted>
  <dcterms:created xsi:type="dcterms:W3CDTF">2026-08-09T07:55:00Z</dcterms:created>
  <dcterms:modified xsi:type="dcterms:W3CDTF">2026-08-09T07:55:00Z</dcterms:modified>
</cp:coreProperties>
</file>