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414BC" w:rsidRPr="002928E9" w14:paraId="1E939DB2" w14:textId="77777777" w:rsidTr="0055344F">
        <w:tc>
          <w:tcPr>
            <w:tcW w:w="1980" w:type="dxa"/>
          </w:tcPr>
          <w:p w14:paraId="05963A0A" w14:textId="77777777" w:rsidR="003414BC" w:rsidRPr="009815D3" w:rsidRDefault="003414BC" w:rsidP="0055344F">
            <w:pPr>
              <w:spacing w:before="120"/>
              <w:rPr>
                <w:rFonts w:ascii="Calibri" w:hAnsi="Calibri"/>
                <w:b/>
                <w:bCs/>
              </w:rPr>
            </w:pPr>
            <w:r w:rsidRPr="009815D3">
              <w:rPr>
                <w:rFonts w:ascii="Calibri" w:hAnsi="Calibri"/>
                <w:b/>
                <w:bCs/>
              </w:rPr>
              <w:t>Brief</w:t>
            </w:r>
          </w:p>
        </w:tc>
        <w:tc>
          <w:tcPr>
            <w:tcW w:w="8640" w:type="dxa"/>
          </w:tcPr>
          <w:p w14:paraId="6F3D5285" w14:textId="5D168B06" w:rsidR="003414BC" w:rsidRPr="009815D3" w:rsidRDefault="003414BC" w:rsidP="0055344F">
            <w:pPr>
              <w:spacing w:before="120" w:after="120"/>
              <w:jc w:val="both"/>
              <w:rPr>
                <w:rFonts w:ascii="Calibri" w:hAnsi="Calibri"/>
              </w:rPr>
            </w:pPr>
            <w:r w:rsidRPr="00DB0CE0">
              <w:rPr>
                <w:rFonts w:ascii="Calibri" w:hAnsi="Calibri"/>
              </w:rPr>
              <w:t xml:space="preserve">SMSA expects all employees to maintain the highest standard of integrity in their personal and business dealings. All employees are informed of these standards and those who fail to deliver the expected standards will be disciplined in order to protect the company interest, </w:t>
            </w:r>
            <w:r w:rsidR="00A748E1">
              <w:rPr>
                <w:rFonts w:ascii="Calibri" w:hAnsi="Calibri"/>
              </w:rPr>
              <w:t>Jordanian</w:t>
            </w:r>
            <w:r w:rsidRPr="00DB0CE0">
              <w:rPr>
                <w:rFonts w:ascii="Calibri" w:hAnsi="Calibri"/>
              </w:rPr>
              <w:t xml:space="preserve"> labor law and to develop a healthy working environment.</w:t>
            </w:r>
          </w:p>
        </w:tc>
      </w:tr>
      <w:tr w:rsidR="003414BC" w:rsidRPr="002928E9" w14:paraId="7A64FF7F" w14:textId="77777777" w:rsidTr="0055344F">
        <w:tc>
          <w:tcPr>
            <w:tcW w:w="1980" w:type="dxa"/>
          </w:tcPr>
          <w:p w14:paraId="2015865D" w14:textId="77777777" w:rsidR="003414BC" w:rsidRPr="009815D3" w:rsidRDefault="003414BC" w:rsidP="0055344F">
            <w:pPr>
              <w:spacing w:before="120"/>
              <w:rPr>
                <w:rFonts w:ascii="Calibri" w:hAnsi="Calibri"/>
                <w:b/>
                <w:bCs/>
              </w:rPr>
            </w:pPr>
            <w:r w:rsidRPr="009815D3">
              <w:rPr>
                <w:rFonts w:ascii="Calibri" w:hAnsi="Calibri"/>
                <w:b/>
                <w:bCs/>
              </w:rPr>
              <w:t>Purpose</w:t>
            </w:r>
          </w:p>
        </w:tc>
        <w:tc>
          <w:tcPr>
            <w:tcW w:w="8640" w:type="dxa"/>
          </w:tcPr>
          <w:p w14:paraId="74D0694F" w14:textId="77777777" w:rsidR="003414BC" w:rsidRPr="009815D3" w:rsidRDefault="003414BC" w:rsidP="0055344F">
            <w:pPr>
              <w:spacing w:before="120" w:after="120"/>
              <w:jc w:val="both"/>
              <w:rPr>
                <w:rFonts w:ascii="Calibri" w:hAnsi="Calibri"/>
              </w:rPr>
            </w:pPr>
            <w:r w:rsidRPr="00DB0CE0">
              <w:rPr>
                <w:rFonts w:ascii="Calibri" w:hAnsi="Calibri"/>
              </w:rPr>
              <w:t>Disciplinary policy will ensure that all Direct managers and employees are aware of the process to be followed by the Company in dealing with poor attendance, unacceptable behavior, misconduct and criminal acts on the part of the employee.</w:t>
            </w:r>
          </w:p>
        </w:tc>
      </w:tr>
      <w:tr w:rsidR="003414BC" w:rsidRPr="002928E9" w14:paraId="1EEFF29C" w14:textId="77777777" w:rsidTr="0055344F">
        <w:tc>
          <w:tcPr>
            <w:tcW w:w="1980" w:type="dxa"/>
          </w:tcPr>
          <w:p w14:paraId="0FAA9876" w14:textId="77777777" w:rsidR="003414BC" w:rsidRPr="009815D3" w:rsidRDefault="003414BC" w:rsidP="0055344F">
            <w:pPr>
              <w:spacing w:before="120" w:after="120"/>
              <w:rPr>
                <w:rFonts w:ascii="Calibri" w:hAnsi="Calibri"/>
                <w:b/>
                <w:bCs/>
              </w:rPr>
            </w:pPr>
            <w:r w:rsidRPr="009815D3">
              <w:rPr>
                <w:rFonts w:ascii="Calibri" w:hAnsi="Calibri"/>
                <w:b/>
                <w:bCs/>
              </w:rPr>
              <w:t>Person Affected</w:t>
            </w:r>
          </w:p>
        </w:tc>
        <w:tc>
          <w:tcPr>
            <w:tcW w:w="8640" w:type="dxa"/>
          </w:tcPr>
          <w:p w14:paraId="1EA79AF2" w14:textId="77777777" w:rsidR="003414BC" w:rsidRPr="00F83331" w:rsidRDefault="003414BC" w:rsidP="0055344F">
            <w:pPr>
              <w:spacing w:before="120"/>
              <w:jc w:val="both"/>
              <w:rPr>
                <w:rStyle w:val="Strong"/>
                <w:rFonts w:ascii="Calibri" w:hAnsi="Calibri" w:cs="Tahoma"/>
                <w:b w:val="0"/>
                <w:bCs w:val="0"/>
              </w:rPr>
            </w:pPr>
            <w:r w:rsidRPr="00DB0CE0">
              <w:rPr>
                <w:rFonts w:ascii="Calibri" w:hAnsi="Calibri" w:cs="Tahoma"/>
              </w:rPr>
              <w:t>Covers all employees</w:t>
            </w:r>
          </w:p>
        </w:tc>
      </w:tr>
      <w:tr w:rsidR="003414BC" w:rsidRPr="002928E9" w14:paraId="4155BB74" w14:textId="77777777" w:rsidTr="0055344F">
        <w:tc>
          <w:tcPr>
            <w:tcW w:w="1980" w:type="dxa"/>
          </w:tcPr>
          <w:p w14:paraId="763B0317" w14:textId="77777777" w:rsidR="003414BC" w:rsidRPr="009815D3" w:rsidRDefault="003414BC" w:rsidP="0055344F">
            <w:pPr>
              <w:spacing w:before="120"/>
              <w:rPr>
                <w:rFonts w:ascii="Calibri" w:hAnsi="Calibri"/>
                <w:b/>
                <w:bCs/>
              </w:rPr>
            </w:pPr>
            <w:r w:rsidRPr="009815D3">
              <w:rPr>
                <w:rFonts w:ascii="Calibri" w:hAnsi="Calibri"/>
                <w:b/>
                <w:bCs/>
              </w:rPr>
              <w:t>Guidelines</w:t>
            </w:r>
          </w:p>
        </w:tc>
        <w:tc>
          <w:tcPr>
            <w:tcW w:w="8640" w:type="dxa"/>
          </w:tcPr>
          <w:p w14:paraId="50F280F1" w14:textId="77777777" w:rsidR="003414BC" w:rsidRPr="00686EE3" w:rsidRDefault="003414BC" w:rsidP="0055344F">
            <w:pPr>
              <w:autoSpaceDE w:val="0"/>
              <w:autoSpaceDN w:val="0"/>
              <w:adjustRightInd w:val="0"/>
              <w:spacing w:before="120"/>
              <w:jc w:val="both"/>
              <w:rPr>
                <w:rFonts w:ascii="Calibri" w:hAnsi="Calibri" w:cs="Arial"/>
                <w:bCs/>
                <w:color w:val="000000"/>
              </w:rPr>
            </w:pPr>
            <w:r w:rsidRPr="00686EE3">
              <w:rPr>
                <w:rFonts w:ascii="Calibri" w:hAnsi="Calibri" w:cs="Arial"/>
                <w:bCs/>
                <w:color w:val="000000"/>
              </w:rPr>
              <w:t>1.0 Counseling</w:t>
            </w:r>
          </w:p>
          <w:p w14:paraId="0249737F" w14:textId="77777777" w:rsidR="003414BC" w:rsidRPr="00686EE3" w:rsidRDefault="003414BC" w:rsidP="0055344F">
            <w:pPr>
              <w:autoSpaceDE w:val="0"/>
              <w:autoSpaceDN w:val="0"/>
              <w:adjustRightInd w:val="0"/>
              <w:jc w:val="both"/>
              <w:rPr>
                <w:rFonts w:ascii="Calibri" w:hAnsi="Calibri" w:cs="Arial"/>
                <w:bCs/>
                <w:color w:val="000000"/>
              </w:rPr>
            </w:pPr>
          </w:p>
          <w:p w14:paraId="56E08FB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 Employee’s performance has been assessed against the Company Standard, Job Description or Competencies as being below an acceptable level then in the first instance counseling is considered when the reasons behind the issue are fully understood, then the Direct Manager is in a position to counsel the employee through Counseling form with clear action plan.</w:t>
            </w:r>
          </w:p>
          <w:p w14:paraId="7FF69C13" w14:textId="77777777" w:rsidR="003414BC" w:rsidRPr="00686EE3" w:rsidRDefault="003414BC" w:rsidP="0055344F">
            <w:pPr>
              <w:autoSpaceDE w:val="0"/>
              <w:autoSpaceDN w:val="0"/>
              <w:adjustRightInd w:val="0"/>
              <w:jc w:val="both"/>
              <w:rPr>
                <w:rFonts w:ascii="Calibri" w:hAnsi="Calibri" w:cs="Arial"/>
                <w:color w:val="000000"/>
              </w:rPr>
            </w:pPr>
          </w:p>
          <w:p w14:paraId="32CE7D03"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2.0 Disciplinary Process</w:t>
            </w:r>
          </w:p>
          <w:p w14:paraId="369EBC86" w14:textId="77777777" w:rsidR="003414BC" w:rsidRPr="00686EE3" w:rsidRDefault="003414BC" w:rsidP="0055344F">
            <w:pPr>
              <w:autoSpaceDE w:val="0"/>
              <w:autoSpaceDN w:val="0"/>
              <w:adjustRightInd w:val="0"/>
              <w:jc w:val="both"/>
              <w:rPr>
                <w:rFonts w:ascii="Calibri" w:hAnsi="Calibri" w:cs="Arial"/>
                <w:bCs/>
                <w:color w:val="000000"/>
              </w:rPr>
            </w:pPr>
          </w:p>
          <w:p w14:paraId="02B331C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 Disciplinary Investigation is an examination or inquiry into an incident which has taken place and / or been reported. The aim is to establish the facts to be able to make a fair and reasonable decision.</w:t>
            </w:r>
          </w:p>
          <w:p w14:paraId="2F88811F" w14:textId="77777777" w:rsidR="003414BC" w:rsidRPr="00686EE3" w:rsidRDefault="003414BC" w:rsidP="0055344F">
            <w:pPr>
              <w:autoSpaceDE w:val="0"/>
              <w:autoSpaceDN w:val="0"/>
              <w:adjustRightInd w:val="0"/>
              <w:jc w:val="both"/>
              <w:rPr>
                <w:rFonts w:ascii="Calibri" w:hAnsi="Calibri" w:cs="Arial"/>
                <w:color w:val="000000"/>
              </w:rPr>
            </w:pPr>
          </w:p>
          <w:p w14:paraId="22CE4B1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 subject of the investigation is of a serious nature, The HR department and QRM department will be able to support and provide guidance as required.</w:t>
            </w:r>
          </w:p>
          <w:p w14:paraId="5F23B77A" w14:textId="77777777" w:rsidR="003414BC" w:rsidRPr="00686EE3" w:rsidRDefault="003414BC" w:rsidP="0055344F">
            <w:pPr>
              <w:autoSpaceDE w:val="0"/>
              <w:autoSpaceDN w:val="0"/>
              <w:adjustRightInd w:val="0"/>
              <w:jc w:val="both"/>
              <w:rPr>
                <w:rFonts w:ascii="Calibri" w:hAnsi="Calibri" w:cs="Arial"/>
                <w:color w:val="000000"/>
              </w:rPr>
            </w:pPr>
          </w:p>
          <w:p w14:paraId="7842A267"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2.1 The Initial Recommendation</w:t>
            </w:r>
          </w:p>
          <w:p w14:paraId="2F5D3684" w14:textId="77777777" w:rsidR="003414BC" w:rsidRPr="00686EE3" w:rsidRDefault="003414BC" w:rsidP="0055344F">
            <w:pPr>
              <w:autoSpaceDE w:val="0"/>
              <w:autoSpaceDN w:val="0"/>
              <w:adjustRightInd w:val="0"/>
              <w:jc w:val="both"/>
              <w:rPr>
                <w:rFonts w:ascii="Calibri" w:hAnsi="Calibri" w:cs="Arial"/>
                <w:bCs/>
                <w:color w:val="000000"/>
              </w:rPr>
            </w:pPr>
          </w:p>
          <w:p w14:paraId="26012B6A"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When an incident has taken place and / or been reported, an initial recommendation needs to be made. This recommendation is made based upon the surface facts of the incident. The Direct Manager of the employee under investigation will collect the surface facts and identify the appropriate</w:t>
            </w:r>
          </w:p>
          <w:p w14:paraId="15EB439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Recommendation by referring to the </w:t>
            </w:r>
            <w:r w:rsidRPr="00686EE3">
              <w:rPr>
                <w:rFonts w:ascii="Calibri" w:hAnsi="Calibri" w:cs="Arial"/>
              </w:rPr>
              <w:t xml:space="preserve">DISCIPLINARY VIOLATION DOCUMENTS (DVD) </w:t>
            </w:r>
            <w:r w:rsidRPr="00686EE3">
              <w:rPr>
                <w:rFonts w:ascii="Calibri" w:hAnsi="Calibri" w:cs="Arial"/>
                <w:color w:val="000000"/>
              </w:rPr>
              <w:t>This will be recorded on the Incident Report (IR). They will then discuss with their Senior Direct Manager the completed IR to agree the likely action (following further investigation). There may be a need to notify The HR Department and QRM Department.</w:t>
            </w:r>
          </w:p>
          <w:p w14:paraId="7D8CFFFF" w14:textId="77777777" w:rsidR="003414BC" w:rsidRPr="00686EE3" w:rsidRDefault="003414BC" w:rsidP="0055344F">
            <w:pPr>
              <w:autoSpaceDE w:val="0"/>
              <w:autoSpaceDN w:val="0"/>
              <w:adjustRightInd w:val="0"/>
              <w:jc w:val="both"/>
              <w:rPr>
                <w:rFonts w:ascii="Calibri" w:hAnsi="Calibri" w:cs="Arial"/>
                <w:color w:val="000000"/>
              </w:rPr>
            </w:pPr>
          </w:p>
          <w:p w14:paraId="2545DB6A" w14:textId="77777777" w:rsidR="003414BC" w:rsidRPr="00686EE3" w:rsidRDefault="003414BC" w:rsidP="0055344F">
            <w:pPr>
              <w:autoSpaceDE w:val="0"/>
              <w:autoSpaceDN w:val="0"/>
              <w:adjustRightInd w:val="0"/>
              <w:jc w:val="both"/>
              <w:rPr>
                <w:rFonts w:ascii="Calibri" w:hAnsi="Calibri" w:cs="Arial"/>
                <w:color w:val="000000"/>
              </w:rPr>
            </w:pPr>
          </w:p>
          <w:p w14:paraId="03FF3C11"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2.2 Role of Suspension</w:t>
            </w:r>
          </w:p>
          <w:p w14:paraId="71B00162" w14:textId="77777777" w:rsidR="003414BC" w:rsidRPr="00686EE3" w:rsidRDefault="003414BC" w:rsidP="0055344F">
            <w:pPr>
              <w:autoSpaceDE w:val="0"/>
              <w:autoSpaceDN w:val="0"/>
              <w:adjustRightInd w:val="0"/>
              <w:jc w:val="both"/>
              <w:rPr>
                <w:rFonts w:ascii="Calibri" w:hAnsi="Calibri" w:cs="Arial"/>
                <w:bCs/>
                <w:color w:val="000000"/>
              </w:rPr>
            </w:pPr>
          </w:p>
          <w:p w14:paraId="0832091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there is reason to believe that an employee under investigation could cause harm to the investigation, other employees or the business, it may be necessary to suspend the employee from the workplace during the investigation period.</w:t>
            </w:r>
          </w:p>
          <w:p w14:paraId="0292530E" w14:textId="77777777" w:rsidR="003414BC" w:rsidRPr="00686EE3" w:rsidRDefault="003414BC" w:rsidP="0055344F">
            <w:pPr>
              <w:autoSpaceDE w:val="0"/>
              <w:autoSpaceDN w:val="0"/>
              <w:adjustRightInd w:val="0"/>
              <w:jc w:val="both"/>
              <w:rPr>
                <w:rFonts w:ascii="Calibri" w:hAnsi="Calibri" w:cs="Arial"/>
                <w:color w:val="000000"/>
              </w:rPr>
            </w:pPr>
          </w:p>
          <w:p w14:paraId="4288E1F4" w14:textId="08FCDFA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Employees will be suspended as specified within the </w:t>
            </w:r>
            <w:r w:rsidR="00A748E1">
              <w:rPr>
                <w:rFonts w:ascii="Calibri" w:hAnsi="Calibri" w:cs="Arial"/>
                <w:color w:val="000000"/>
              </w:rPr>
              <w:t>Jordanian</w:t>
            </w:r>
            <w:r w:rsidRPr="00686EE3">
              <w:rPr>
                <w:rFonts w:ascii="Calibri" w:hAnsi="Calibri" w:cs="Arial"/>
                <w:color w:val="000000"/>
              </w:rPr>
              <w:t xml:space="preserve"> Labor Law.</w:t>
            </w:r>
          </w:p>
          <w:p w14:paraId="18512B6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If an employee is suspended, the Manager conducting the investigation will issue a Suspension Notification Letter to the employee and copy it to HR &amp; QRM within a maximum period of 2 days of the reported incident. </w:t>
            </w:r>
          </w:p>
          <w:p w14:paraId="7CF9FBA1" w14:textId="77777777" w:rsidR="003414BC" w:rsidRPr="00686EE3" w:rsidRDefault="003414BC" w:rsidP="0055344F">
            <w:pPr>
              <w:autoSpaceDE w:val="0"/>
              <w:autoSpaceDN w:val="0"/>
              <w:adjustRightInd w:val="0"/>
              <w:jc w:val="both"/>
              <w:rPr>
                <w:rFonts w:ascii="Calibri" w:hAnsi="Calibri" w:cs="Arial"/>
                <w:color w:val="000000"/>
              </w:rPr>
            </w:pPr>
          </w:p>
          <w:p w14:paraId="1D37561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Suspension must not exceed 7 days where possible, at which time the investigation must be concluded and the agreed action carried out.</w:t>
            </w:r>
          </w:p>
          <w:p w14:paraId="6EED5FFA" w14:textId="77777777" w:rsidR="003414BC" w:rsidRPr="00686EE3" w:rsidRDefault="003414BC" w:rsidP="0055344F">
            <w:pPr>
              <w:autoSpaceDE w:val="0"/>
              <w:autoSpaceDN w:val="0"/>
              <w:adjustRightInd w:val="0"/>
              <w:jc w:val="both"/>
              <w:rPr>
                <w:rFonts w:ascii="Calibri" w:hAnsi="Calibri" w:cs="Arial"/>
                <w:color w:val="000000"/>
              </w:rPr>
            </w:pPr>
          </w:p>
          <w:p w14:paraId="2387F48E"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2.3 The Disciplinary Investigation</w:t>
            </w:r>
          </w:p>
          <w:p w14:paraId="31BDB372" w14:textId="77777777" w:rsidR="003414BC" w:rsidRPr="00686EE3" w:rsidRDefault="003414BC" w:rsidP="0055344F">
            <w:pPr>
              <w:autoSpaceDE w:val="0"/>
              <w:autoSpaceDN w:val="0"/>
              <w:adjustRightInd w:val="0"/>
              <w:jc w:val="both"/>
              <w:rPr>
                <w:rFonts w:ascii="Calibri" w:hAnsi="Calibri" w:cs="Arial"/>
                <w:bCs/>
                <w:color w:val="000000"/>
              </w:rPr>
            </w:pPr>
          </w:p>
          <w:p w14:paraId="5599D74F"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Direct Manager of the employee will carry out the investigation, with the guidance and support of HR/QRM where appropriate. Findings of the investigation will be documented with supporting evidence attached. Any witness statements collected during the investigation should also be attached.</w:t>
            </w:r>
          </w:p>
          <w:p w14:paraId="09E5C2B3" w14:textId="77777777" w:rsidR="003414BC" w:rsidRPr="00686EE3" w:rsidRDefault="003414BC" w:rsidP="0055344F">
            <w:pPr>
              <w:autoSpaceDE w:val="0"/>
              <w:autoSpaceDN w:val="0"/>
              <w:adjustRightInd w:val="0"/>
              <w:jc w:val="both"/>
              <w:rPr>
                <w:rFonts w:ascii="Calibri" w:hAnsi="Calibri" w:cs="Arial"/>
                <w:color w:val="000000"/>
              </w:rPr>
            </w:pPr>
          </w:p>
          <w:p w14:paraId="4E6B0E11"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2.4 The Disciplinary Meeting</w:t>
            </w:r>
          </w:p>
          <w:p w14:paraId="7C076F20" w14:textId="77777777" w:rsidR="003414BC" w:rsidRPr="00686EE3" w:rsidRDefault="003414BC" w:rsidP="0055344F">
            <w:pPr>
              <w:autoSpaceDE w:val="0"/>
              <w:autoSpaceDN w:val="0"/>
              <w:adjustRightInd w:val="0"/>
              <w:jc w:val="both"/>
              <w:rPr>
                <w:rFonts w:ascii="Calibri" w:hAnsi="Calibri" w:cs="Arial"/>
                <w:color w:val="000000"/>
              </w:rPr>
            </w:pPr>
          </w:p>
          <w:p w14:paraId="443F0D5E"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manager who will conduct the meeting should inform the employee under investigation of the time, venue and reason for the scheduled meeting, at least 24 hours in advance. The aim of a Disciplinary Meeting is to present the facts, seek a response from the employee, and make a decision based on the facts. The employee may be asked further questions to confirm the facts and ensure complete understanding of the reported incident. The meeting will then be adjourned to allow a decision to be made. The employee is recalled and informed of the decision. The Disciplinary Action Report (DAR) must be completed and signed by both the Manager and employee to confirm the outcome of the disciplinary investigation.</w:t>
            </w:r>
          </w:p>
          <w:p w14:paraId="41F0BAF8" w14:textId="77777777" w:rsidR="003414BC" w:rsidRPr="00686EE3" w:rsidRDefault="003414BC" w:rsidP="0055344F">
            <w:pPr>
              <w:autoSpaceDE w:val="0"/>
              <w:autoSpaceDN w:val="0"/>
              <w:adjustRightInd w:val="0"/>
              <w:jc w:val="both"/>
              <w:rPr>
                <w:rFonts w:ascii="Calibri" w:hAnsi="Calibri" w:cs="Arial"/>
                <w:color w:val="000000"/>
              </w:rPr>
            </w:pPr>
          </w:p>
          <w:p w14:paraId="4B41A48B" w14:textId="77777777" w:rsidR="003414BC" w:rsidRPr="00686EE3" w:rsidRDefault="003414BC" w:rsidP="0055344F">
            <w:pPr>
              <w:autoSpaceDE w:val="0"/>
              <w:autoSpaceDN w:val="0"/>
              <w:adjustRightInd w:val="0"/>
              <w:ind w:firstLine="360"/>
              <w:jc w:val="both"/>
              <w:rPr>
                <w:rFonts w:ascii="Calibri" w:hAnsi="Calibri" w:cs="Arial"/>
                <w:bCs/>
                <w:color w:val="000000"/>
              </w:rPr>
            </w:pPr>
            <w:r w:rsidRPr="00686EE3">
              <w:rPr>
                <w:rFonts w:ascii="Calibri" w:hAnsi="Calibri" w:cs="Arial"/>
                <w:bCs/>
                <w:color w:val="000000"/>
              </w:rPr>
              <w:t>2.5 The Disciplinary Action:</w:t>
            </w:r>
          </w:p>
          <w:p w14:paraId="30524A47" w14:textId="77777777" w:rsidR="003414BC" w:rsidRPr="00686EE3" w:rsidRDefault="003414BC" w:rsidP="0055344F">
            <w:pPr>
              <w:autoSpaceDE w:val="0"/>
              <w:autoSpaceDN w:val="0"/>
              <w:adjustRightInd w:val="0"/>
              <w:ind w:firstLine="720"/>
              <w:jc w:val="both"/>
              <w:rPr>
                <w:rFonts w:ascii="Calibri" w:hAnsi="Calibri" w:cs="Arial"/>
                <w:bCs/>
                <w:color w:val="000000"/>
              </w:rPr>
            </w:pPr>
          </w:p>
          <w:p w14:paraId="5FF86134"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First Warning Letter to Final Warning Letter will be issued by HR to the employee based on the Disciplinary Action Report sent by Direct Manager to HR – this remains on the employee file for 6 months.</w:t>
            </w:r>
          </w:p>
          <w:p w14:paraId="56B5F8CE" w14:textId="77777777" w:rsidR="003414BC" w:rsidRPr="00686EE3" w:rsidRDefault="003414BC" w:rsidP="0055344F">
            <w:pPr>
              <w:autoSpaceDE w:val="0"/>
              <w:autoSpaceDN w:val="0"/>
              <w:adjustRightInd w:val="0"/>
              <w:ind w:firstLine="720"/>
              <w:jc w:val="both"/>
              <w:rPr>
                <w:rFonts w:ascii="Calibri" w:hAnsi="Calibri" w:cs="Arial"/>
                <w:color w:val="000000"/>
              </w:rPr>
            </w:pPr>
          </w:p>
          <w:p w14:paraId="1E16ECC7" w14:textId="77777777" w:rsidR="003414BC" w:rsidRPr="00686EE3" w:rsidRDefault="003414BC" w:rsidP="0055344F">
            <w:pPr>
              <w:autoSpaceDE w:val="0"/>
              <w:autoSpaceDN w:val="0"/>
              <w:adjustRightInd w:val="0"/>
              <w:spacing w:before="120"/>
              <w:ind w:firstLine="360"/>
              <w:jc w:val="both"/>
              <w:rPr>
                <w:rFonts w:ascii="Calibri" w:hAnsi="Calibri" w:cs="Arial"/>
                <w:bCs/>
                <w:color w:val="000000"/>
              </w:rPr>
            </w:pPr>
            <w:r w:rsidRPr="00686EE3">
              <w:rPr>
                <w:rFonts w:ascii="Calibri" w:hAnsi="Calibri" w:cs="Arial"/>
                <w:bCs/>
                <w:color w:val="000000"/>
              </w:rPr>
              <w:t>2.6 Finalizing Termination</w:t>
            </w:r>
          </w:p>
          <w:p w14:paraId="70863E05" w14:textId="77777777" w:rsidR="003414BC" w:rsidRPr="00686EE3" w:rsidRDefault="003414BC" w:rsidP="0055344F">
            <w:pPr>
              <w:autoSpaceDE w:val="0"/>
              <w:autoSpaceDN w:val="0"/>
              <w:adjustRightInd w:val="0"/>
              <w:jc w:val="both"/>
              <w:rPr>
                <w:rFonts w:ascii="Calibri" w:hAnsi="Calibri" w:cs="Arial"/>
                <w:bCs/>
                <w:color w:val="000000"/>
              </w:rPr>
            </w:pPr>
          </w:p>
          <w:p w14:paraId="69063AB4"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employee will be required to attend an appointment with a Director - HR.</w:t>
            </w:r>
          </w:p>
          <w:p w14:paraId="2F06F305"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employee will be informed that the decision to terminate has been finalized and so they will:</w:t>
            </w:r>
          </w:p>
          <w:p w14:paraId="38A5C24F" w14:textId="77777777" w:rsidR="003414BC" w:rsidRPr="00686EE3" w:rsidRDefault="003414BC" w:rsidP="0055344F">
            <w:pPr>
              <w:autoSpaceDE w:val="0"/>
              <w:autoSpaceDN w:val="0"/>
              <w:adjustRightInd w:val="0"/>
              <w:jc w:val="both"/>
              <w:rPr>
                <w:rFonts w:ascii="Calibri" w:hAnsi="Calibri" w:cs="Arial"/>
                <w:color w:val="000000"/>
              </w:rPr>
            </w:pPr>
          </w:p>
          <w:p w14:paraId="4A1C3314" w14:textId="77777777" w:rsidR="003414BC" w:rsidRPr="00686EE3" w:rsidRDefault="003414BC" w:rsidP="003414BC">
            <w:pPr>
              <w:numPr>
                <w:ilvl w:val="0"/>
                <w:numId w:val="10"/>
              </w:numPr>
              <w:autoSpaceDE w:val="0"/>
              <w:autoSpaceDN w:val="0"/>
              <w:adjustRightInd w:val="0"/>
              <w:jc w:val="both"/>
              <w:rPr>
                <w:rFonts w:ascii="Calibri" w:hAnsi="Calibri" w:cs="Arial"/>
                <w:color w:val="000000"/>
              </w:rPr>
            </w:pPr>
            <w:r w:rsidRPr="00686EE3">
              <w:rPr>
                <w:rFonts w:ascii="Calibri" w:hAnsi="Calibri" w:cs="Arial"/>
                <w:color w:val="000000"/>
              </w:rPr>
              <w:t>Receive a termination letter, confirming the decision.</w:t>
            </w:r>
          </w:p>
          <w:p w14:paraId="36E07310" w14:textId="77777777" w:rsidR="003414BC" w:rsidRPr="00E61CB8" w:rsidRDefault="003414BC" w:rsidP="003414BC">
            <w:pPr>
              <w:numPr>
                <w:ilvl w:val="0"/>
                <w:numId w:val="10"/>
              </w:numPr>
              <w:autoSpaceDE w:val="0"/>
              <w:autoSpaceDN w:val="0"/>
              <w:adjustRightInd w:val="0"/>
              <w:jc w:val="both"/>
              <w:rPr>
                <w:rFonts w:ascii="Calibri" w:hAnsi="Calibri" w:cs="Arial"/>
                <w:color w:val="000000"/>
              </w:rPr>
            </w:pPr>
            <w:r w:rsidRPr="00E61CB8">
              <w:rPr>
                <w:rFonts w:ascii="Calibri" w:hAnsi="Calibri" w:cs="Arial"/>
                <w:color w:val="000000"/>
              </w:rPr>
              <w:t xml:space="preserve">Meet with HR Services/Payroll to finalize settlement and residency </w:t>
            </w:r>
            <w:r>
              <w:rPr>
                <w:rFonts w:ascii="Calibri" w:hAnsi="Calibri" w:cs="Arial"/>
                <w:color w:val="000000"/>
              </w:rPr>
              <w:t>p</w:t>
            </w:r>
            <w:r w:rsidRPr="00E61CB8">
              <w:rPr>
                <w:rFonts w:ascii="Calibri" w:hAnsi="Calibri" w:cs="Arial"/>
                <w:color w:val="000000"/>
              </w:rPr>
              <w:t>rocedures.</w:t>
            </w:r>
          </w:p>
          <w:p w14:paraId="5BAAFCC2" w14:textId="77777777" w:rsidR="003414BC" w:rsidRPr="00686EE3" w:rsidRDefault="003414BC" w:rsidP="0055344F">
            <w:pPr>
              <w:autoSpaceDE w:val="0"/>
              <w:autoSpaceDN w:val="0"/>
              <w:adjustRightInd w:val="0"/>
              <w:jc w:val="both"/>
              <w:rPr>
                <w:rFonts w:ascii="Calibri" w:hAnsi="Calibri" w:cs="Arial"/>
                <w:bCs/>
                <w:color w:val="000000"/>
              </w:rPr>
            </w:pPr>
          </w:p>
          <w:p w14:paraId="49AF9769" w14:textId="77777777" w:rsidR="003414BC" w:rsidRPr="00686EE3" w:rsidRDefault="003414BC" w:rsidP="003414BC">
            <w:pPr>
              <w:numPr>
                <w:ilvl w:val="0"/>
                <w:numId w:val="11"/>
              </w:numPr>
              <w:autoSpaceDE w:val="0"/>
              <w:autoSpaceDN w:val="0"/>
              <w:adjustRightInd w:val="0"/>
              <w:jc w:val="both"/>
              <w:rPr>
                <w:rFonts w:ascii="Calibri" w:hAnsi="Calibri" w:cs="Arial"/>
                <w:bCs/>
                <w:color w:val="000000"/>
              </w:rPr>
            </w:pPr>
            <w:r w:rsidRPr="00686EE3">
              <w:rPr>
                <w:rFonts w:ascii="Calibri" w:hAnsi="Calibri" w:cs="Arial"/>
                <w:bCs/>
                <w:color w:val="000000"/>
              </w:rPr>
              <w:t>Right to Appeal</w:t>
            </w:r>
          </w:p>
          <w:p w14:paraId="7050776D" w14:textId="77777777" w:rsidR="003414BC" w:rsidRPr="00686EE3" w:rsidRDefault="003414BC" w:rsidP="0055344F">
            <w:pPr>
              <w:autoSpaceDE w:val="0"/>
              <w:autoSpaceDN w:val="0"/>
              <w:adjustRightInd w:val="0"/>
              <w:jc w:val="both"/>
              <w:rPr>
                <w:rFonts w:ascii="Calibri" w:hAnsi="Calibri" w:cs="Arial"/>
                <w:bCs/>
                <w:color w:val="000000"/>
              </w:rPr>
            </w:pPr>
          </w:p>
          <w:p w14:paraId="5A027A18"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An employee has the right to appeal against a decision to terminate. To be able to do this, the appeal will need to be put in writing within seven days of receipt of the termination letter.</w:t>
            </w:r>
          </w:p>
          <w:p w14:paraId="2C12E155" w14:textId="77777777" w:rsidR="003414BC" w:rsidRPr="00686EE3" w:rsidRDefault="003414BC" w:rsidP="0055344F">
            <w:pPr>
              <w:autoSpaceDE w:val="0"/>
              <w:autoSpaceDN w:val="0"/>
              <w:adjustRightInd w:val="0"/>
              <w:jc w:val="both"/>
              <w:rPr>
                <w:rFonts w:ascii="Calibri" w:hAnsi="Calibri" w:cs="Arial"/>
                <w:color w:val="000000"/>
              </w:rPr>
            </w:pPr>
          </w:p>
          <w:p w14:paraId="6B5B41F5"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 manager within the same department (more senior than the Disciplining Manager) along with a Director - HR, both of whom have not been involved in the initial Disciplinary Investigation will hear the appeal. The manager who conducted the investigation should be consulted to gather relevant documented evidence. All the information presented at the disciplinary meeting will be reviewed. The decision of the senior manager will be final and there will be no further appeals.</w:t>
            </w:r>
          </w:p>
          <w:p w14:paraId="26FE4A2B" w14:textId="77777777" w:rsidR="003414BC" w:rsidRPr="00686EE3" w:rsidRDefault="003414BC" w:rsidP="0055344F">
            <w:pPr>
              <w:autoSpaceDE w:val="0"/>
              <w:autoSpaceDN w:val="0"/>
              <w:adjustRightInd w:val="0"/>
              <w:jc w:val="both"/>
              <w:rPr>
                <w:rFonts w:ascii="Calibri" w:hAnsi="Calibri" w:cs="Arial"/>
                <w:color w:val="000000"/>
              </w:rPr>
            </w:pPr>
          </w:p>
          <w:p w14:paraId="04701856"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N. B.</w:t>
            </w:r>
          </w:p>
          <w:p w14:paraId="5B623E0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Manager listening to the appeal will consult with a Director - HR prior to making their decision.</w:t>
            </w:r>
          </w:p>
          <w:p w14:paraId="62F1B75A" w14:textId="77777777" w:rsidR="003414BC" w:rsidRPr="00686EE3" w:rsidRDefault="003414BC" w:rsidP="0055344F">
            <w:pPr>
              <w:jc w:val="both"/>
              <w:rPr>
                <w:rFonts w:ascii="Calibri" w:hAnsi="Calibri" w:cs="Arial"/>
              </w:rPr>
            </w:pPr>
          </w:p>
          <w:p w14:paraId="6E13F5B9" w14:textId="77777777" w:rsidR="003414BC" w:rsidRPr="00686EE3" w:rsidRDefault="003414BC" w:rsidP="003414BC">
            <w:pPr>
              <w:numPr>
                <w:ilvl w:val="0"/>
                <w:numId w:val="11"/>
              </w:numPr>
              <w:autoSpaceDE w:val="0"/>
              <w:autoSpaceDN w:val="0"/>
              <w:adjustRightInd w:val="0"/>
              <w:jc w:val="both"/>
              <w:rPr>
                <w:rFonts w:ascii="Calibri" w:hAnsi="Calibri" w:cs="Arial"/>
                <w:bCs/>
                <w:color w:val="000000"/>
              </w:rPr>
            </w:pPr>
            <w:r w:rsidRPr="00686EE3">
              <w:rPr>
                <w:rFonts w:ascii="Calibri" w:hAnsi="Calibri" w:cs="Arial"/>
                <w:bCs/>
                <w:color w:val="000000"/>
              </w:rPr>
              <w:t>Responsibility</w:t>
            </w:r>
          </w:p>
          <w:p w14:paraId="0EC6A7FB" w14:textId="77777777" w:rsidR="003414BC" w:rsidRPr="00686EE3" w:rsidRDefault="003414BC" w:rsidP="0055344F">
            <w:pPr>
              <w:autoSpaceDE w:val="0"/>
              <w:autoSpaceDN w:val="0"/>
              <w:adjustRightInd w:val="0"/>
              <w:jc w:val="both"/>
              <w:rPr>
                <w:rFonts w:ascii="Calibri" w:hAnsi="Calibri" w:cs="Arial"/>
                <w:bCs/>
                <w:color w:val="000000"/>
              </w:rPr>
            </w:pPr>
          </w:p>
          <w:p w14:paraId="7626FFB4" w14:textId="77777777" w:rsidR="003414BC" w:rsidRPr="00686EE3" w:rsidRDefault="003414BC" w:rsidP="0055344F">
            <w:pPr>
              <w:autoSpaceDE w:val="0"/>
              <w:autoSpaceDN w:val="0"/>
              <w:adjustRightInd w:val="0"/>
              <w:ind w:firstLine="360"/>
              <w:jc w:val="both"/>
              <w:rPr>
                <w:rFonts w:ascii="Calibri" w:hAnsi="Calibri" w:cs="Arial"/>
                <w:color w:val="000000"/>
              </w:rPr>
            </w:pPr>
            <w:r w:rsidRPr="00686EE3">
              <w:rPr>
                <w:rFonts w:ascii="Calibri" w:hAnsi="Calibri" w:cs="Arial"/>
                <w:bCs/>
                <w:color w:val="000000"/>
              </w:rPr>
              <w:t>Direct Manager of the employee</w:t>
            </w:r>
            <w:r w:rsidRPr="00686EE3">
              <w:rPr>
                <w:rFonts w:ascii="Calibri" w:hAnsi="Calibri" w:cs="Arial"/>
                <w:color w:val="000000"/>
              </w:rPr>
              <w:t>:</w:t>
            </w:r>
          </w:p>
          <w:p w14:paraId="512C8D15" w14:textId="77777777" w:rsidR="003414BC" w:rsidRPr="00686EE3" w:rsidRDefault="003414BC" w:rsidP="0055344F">
            <w:pPr>
              <w:autoSpaceDE w:val="0"/>
              <w:autoSpaceDN w:val="0"/>
              <w:adjustRightInd w:val="0"/>
              <w:jc w:val="both"/>
              <w:rPr>
                <w:rFonts w:ascii="Calibri" w:hAnsi="Calibri" w:cs="Arial"/>
                <w:color w:val="000000"/>
              </w:rPr>
            </w:pPr>
          </w:p>
          <w:p w14:paraId="352D3FA9"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Passing relevant documented and agreed information to the employee and ensuring that he understands their responsibility within the process.</w:t>
            </w:r>
          </w:p>
          <w:p w14:paraId="23F018DA"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Completing all parts of the process, advising the HR Department and the QRM Department where appropriate.</w:t>
            </w:r>
          </w:p>
          <w:p w14:paraId="4CF63099"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Passing relevant documented and agreed information to their Direct Manager and/or Disciplining Manager for reference purposes, and when appropriate, for the attention of the HR department and QRM department.</w:t>
            </w:r>
          </w:p>
          <w:p w14:paraId="1BB32969" w14:textId="77777777" w:rsidR="003414BC" w:rsidRDefault="003414BC" w:rsidP="0055344F">
            <w:pPr>
              <w:autoSpaceDE w:val="0"/>
              <w:autoSpaceDN w:val="0"/>
              <w:adjustRightInd w:val="0"/>
              <w:ind w:left="360"/>
              <w:jc w:val="both"/>
              <w:rPr>
                <w:rFonts w:ascii="Calibri" w:hAnsi="Calibri" w:cs="Arial"/>
                <w:bCs/>
                <w:color w:val="000000"/>
              </w:rPr>
            </w:pPr>
          </w:p>
          <w:p w14:paraId="43487417" w14:textId="77777777" w:rsidR="003414BC" w:rsidRDefault="003414BC" w:rsidP="0055344F">
            <w:pPr>
              <w:autoSpaceDE w:val="0"/>
              <w:autoSpaceDN w:val="0"/>
              <w:adjustRightInd w:val="0"/>
              <w:ind w:left="360"/>
              <w:jc w:val="both"/>
              <w:rPr>
                <w:rFonts w:ascii="Calibri" w:hAnsi="Calibri" w:cs="Arial"/>
                <w:bCs/>
                <w:color w:val="000000"/>
              </w:rPr>
            </w:pPr>
          </w:p>
          <w:p w14:paraId="4D9A731E"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Senior Direct Manager:</w:t>
            </w:r>
          </w:p>
          <w:p w14:paraId="393F1ACB" w14:textId="77777777" w:rsidR="003414BC" w:rsidRPr="00686EE3" w:rsidRDefault="003414BC" w:rsidP="0055344F">
            <w:pPr>
              <w:autoSpaceDE w:val="0"/>
              <w:autoSpaceDN w:val="0"/>
              <w:adjustRightInd w:val="0"/>
              <w:ind w:left="360"/>
              <w:jc w:val="both"/>
              <w:rPr>
                <w:rFonts w:ascii="Calibri" w:hAnsi="Calibri" w:cs="Arial"/>
                <w:bCs/>
                <w:color w:val="000000"/>
              </w:rPr>
            </w:pPr>
          </w:p>
          <w:p w14:paraId="44F3AFDE" w14:textId="77777777" w:rsidR="003414BC" w:rsidRPr="00686EE3" w:rsidRDefault="003414BC" w:rsidP="003414BC">
            <w:pPr>
              <w:numPr>
                <w:ilvl w:val="0"/>
                <w:numId w:val="12"/>
              </w:numPr>
              <w:autoSpaceDE w:val="0"/>
              <w:autoSpaceDN w:val="0"/>
              <w:adjustRightInd w:val="0"/>
              <w:jc w:val="both"/>
              <w:rPr>
                <w:rFonts w:ascii="Calibri" w:hAnsi="Calibri" w:cs="Arial"/>
                <w:color w:val="000000"/>
              </w:rPr>
            </w:pPr>
            <w:r w:rsidRPr="00686EE3">
              <w:rPr>
                <w:rFonts w:ascii="Calibri" w:hAnsi="Calibri" w:cs="Arial"/>
                <w:color w:val="000000"/>
              </w:rPr>
              <w:lastRenderedPageBreak/>
              <w:t>Responding to and supporting HR agreed action.</w:t>
            </w:r>
          </w:p>
          <w:p w14:paraId="53AEB47C" w14:textId="77777777" w:rsidR="003414BC" w:rsidRPr="00686EE3" w:rsidRDefault="003414BC" w:rsidP="003414BC">
            <w:pPr>
              <w:numPr>
                <w:ilvl w:val="0"/>
                <w:numId w:val="12"/>
              </w:numPr>
              <w:autoSpaceDE w:val="0"/>
              <w:autoSpaceDN w:val="0"/>
              <w:adjustRightInd w:val="0"/>
              <w:jc w:val="both"/>
              <w:rPr>
                <w:rFonts w:ascii="Calibri" w:hAnsi="Calibri" w:cs="Arial"/>
                <w:color w:val="000000"/>
              </w:rPr>
            </w:pPr>
            <w:r w:rsidRPr="00686EE3">
              <w:rPr>
                <w:rFonts w:ascii="Calibri" w:hAnsi="Calibri" w:cs="Arial"/>
                <w:color w:val="000000"/>
              </w:rPr>
              <w:t>Bringing documented and agreed information to the attention of the HR</w:t>
            </w:r>
          </w:p>
          <w:p w14:paraId="704ED4E8" w14:textId="77777777" w:rsidR="003414BC" w:rsidRPr="00686EE3" w:rsidRDefault="003414BC" w:rsidP="0055344F">
            <w:pPr>
              <w:autoSpaceDE w:val="0"/>
              <w:autoSpaceDN w:val="0"/>
              <w:adjustRightInd w:val="0"/>
              <w:ind w:left="720"/>
              <w:jc w:val="both"/>
              <w:rPr>
                <w:rFonts w:ascii="Calibri" w:hAnsi="Calibri" w:cs="Arial"/>
                <w:color w:val="000000"/>
              </w:rPr>
            </w:pPr>
            <w:r w:rsidRPr="00686EE3">
              <w:rPr>
                <w:rFonts w:ascii="Calibri" w:hAnsi="Calibri" w:cs="Arial"/>
                <w:color w:val="000000"/>
              </w:rPr>
              <w:t>Department and QRM Department when appropriate.</w:t>
            </w:r>
          </w:p>
          <w:p w14:paraId="1B4ABCA6"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Providing information to the manager hearing a termination appeal when raised in writing by the employee under investigation.</w:t>
            </w:r>
          </w:p>
          <w:p w14:paraId="1D33E33B" w14:textId="77777777" w:rsidR="003414BC" w:rsidRPr="00686EE3" w:rsidRDefault="003414BC" w:rsidP="0055344F">
            <w:pPr>
              <w:autoSpaceDE w:val="0"/>
              <w:autoSpaceDN w:val="0"/>
              <w:adjustRightInd w:val="0"/>
              <w:ind w:left="360"/>
              <w:jc w:val="both"/>
              <w:rPr>
                <w:rFonts w:ascii="Calibri" w:hAnsi="Calibri" w:cs="Arial"/>
                <w:color w:val="000000"/>
              </w:rPr>
            </w:pPr>
          </w:p>
          <w:p w14:paraId="6AA10760"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The Director - HR:</w:t>
            </w:r>
          </w:p>
          <w:p w14:paraId="3EA4EFE0" w14:textId="77777777" w:rsidR="003414BC" w:rsidRPr="00686EE3" w:rsidRDefault="003414BC" w:rsidP="0055344F">
            <w:pPr>
              <w:autoSpaceDE w:val="0"/>
              <w:autoSpaceDN w:val="0"/>
              <w:adjustRightInd w:val="0"/>
              <w:ind w:left="360"/>
              <w:jc w:val="both"/>
              <w:rPr>
                <w:rFonts w:ascii="Calibri" w:hAnsi="Calibri" w:cs="Arial"/>
                <w:bCs/>
                <w:color w:val="000000"/>
              </w:rPr>
            </w:pPr>
          </w:p>
          <w:p w14:paraId="589343D5"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Providing guidance and support to the Direct Manager as deemed necessary.</w:t>
            </w:r>
          </w:p>
          <w:p w14:paraId="249E2BF4"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Finalizing warning letter process by issuing warning letter to employee.</w:t>
            </w:r>
          </w:p>
          <w:p w14:paraId="630906DB"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Finalizing terminations by issuing the employee with the termination letter and arranging for them to meet with HR Services/Payroll.</w:t>
            </w:r>
          </w:p>
          <w:p w14:paraId="6C58E9E1"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Supporting the Senior Manager when hearing a termination appeal rose in writing by the employee under investigation.</w:t>
            </w:r>
          </w:p>
          <w:p w14:paraId="2A115347" w14:textId="77777777" w:rsidR="003414BC" w:rsidRPr="00686EE3" w:rsidRDefault="003414BC" w:rsidP="0055344F">
            <w:pPr>
              <w:autoSpaceDE w:val="0"/>
              <w:autoSpaceDN w:val="0"/>
              <w:adjustRightInd w:val="0"/>
              <w:ind w:left="360"/>
              <w:jc w:val="both"/>
              <w:rPr>
                <w:rFonts w:ascii="Calibri" w:hAnsi="Calibri" w:cs="Arial"/>
                <w:color w:val="000000"/>
              </w:rPr>
            </w:pPr>
          </w:p>
          <w:p w14:paraId="75B48C0D"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HR Services/Payroll:</w:t>
            </w:r>
          </w:p>
          <w:p w14:paraId="2A6DD6F2" w14:textId="77777777" w:rsidR="003414BC" w:rsidRPr="00686EE3" w:rsidRDefault="003414BC" w:rsidP="0055344F">
            <w:pPr>
              <w:autoSpaceDE w:val="0"/>
              <w:autoSpaceDN w:val="0"/>
              <w:adjustRightInd w:val="0"/>
              <w:ind w:left="360"/>
              <w:jc w:val="both"/>
              <w:rPr>
                <w:rFonts w:ascii="Calibri" w:hAnsi="Calibri" w:cs="Arial"/>
                <w:bCs/>
                <w:color w:val="000000"/>
              </w:rPr>
            </w:pPr>
          </w:p>
          <w:p w14:paraId="52DBBE15"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Raising Disciplinary Warning letters as requested.</w:t>
            </w:r>
          </w:p>
          <w:p w14:paraId="5317FFFF"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Processing terminations at all levels.</w:t>
            </w:r>
          </w:p>
          <w:p w14:paraId="5AC4C7B4" w14:textId="77777777" w:rsidR="003414BC" w:rsidRPr="00686EE3" w:rsidRDefault="003414BC" w:rsidP="0055344F">
            <w:pPr>
              <w:autoSpaceDE w:val="0"/>
              <w:autoSpaceDN w:val="0"/>
              <w:adjustRightInd w:val="0"/>
              <w:ind w:left="360"/>
              <w:jc w:val="both"/>
              <w:rPr>
                <w:rFonts w:ascii="Calibri" w:hAnsi="Calibri" w:cs="Arial"/>
                <w:color w:val="000000"/>
              </w:rPr>
            </w:pPr>
          </w:p>
          <w:p w14:paraId="4A2E3E13"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 xml:space="preserve">      The QRM Manager:</w:t>
            </w:r>
          </w:p>
          <w:p w14:paraId="6B103824" w14:textId="77777777" w:rsidR="003414BC" w:rsidRPr="00686EE3" w:rsidRDefault="003414BC" w:rsidP="0055344F">
            <w:pPr>
              <w:autoSpaceDE w:val="0"/>
              <w:autoSpaceDN w:val="0"/>
              <w:adjustRightInd w:val="0"/>
              <w:jc w:val="both"/>
              <w:rPr>
                <w:rFonts w:ascii="Calibri" w:hAnsi="Calibri" w:cs="Arial"/>
                <w:bCs/>
                <w:color w:val="000000"/>
              </w:rPr>
            </w:pPr>
          </w:p>
          <w:p w14:paraId="6846A3BA" w14:textId="77777777" w:rsidR="003414BC" w:rsidRPr="00686EE3" w:rsidRDefault="003414BC" w:rsidP="003414BC">
            <w:pPr>
              <w:numPr>
                <w:ilvl w:val="0"/>
                <w:numId w:val="15"/>
              </w:numPr>
              <w:autoSpaceDE w:val="0"/>
              <w:autoSpaceDN w:val="0"/>
              <w:adjustRightInd w:val="0"/>
              <w:jc w:val="both"/>
              <w:rPr>
                <w:rFonts w:ascii="Calibri" w:hAnsi="Calibri" w:cs="Arial"/>
                <w:color w:val="000000"/>
              </w:rPr>
            </w:pPr>
            <w:r w:rsidRPr="00686EE3">
              <w:rPr>
                <w:rFonts w:ascii="Calibri" w:hAnsi="Calibri" w:cs="Arial"/>
                <w:color w:val="000000"/>
              </w:rPr>
              <w:t>Providing guidance and support as deemed necessary.</w:t>
            </w:r>
          </w:p>
          <w:p w14:paraId="79041113" w14:textId="77777777" w:rsidR="003414BC" w:rsidRPr="00686EE3" w:rsidRDefault="003414BC" w:rsidP="003414BC">
            <w:pPr>
              <w:numPr>
                <w:ilvl w:val="0"/>
                <w:numId w:val="15"/>
              </w:numPr>
              <w:autoSpaceDE w:val="0"/>
              <w:autoSpaceDN w:val="0"/>
              <w:adjustRightInd w:val="0"/>
              <w:jc w:val="both"/>
              <w:rPr>
                <w:rFonts w:ascii="Calibri" w:hAnsi="Calibri" w:cs="Arial"/>
                <w:color w:val="000000"/>
              </w:rPr>
            </w:pPr>
            <w:r w:rsidRPr="00686EE3">
              <w:rPr>
                <w:rFonts w:ascii="Calibri" w:hAnsi="Calibri" w:cs="Arial"/>
                <w:color w:val="000000"/>
              </w:rPr>
              <w:t>Being actively involved in the disciplinary investigation process when an incident comes under a QRM Department remit.</w:t>
            </w:r>
          </w:p>
          <w:p w14:paraId="2C10056F" w14:textId="77777777" w:rsidR="003414BC" w:rsidRPr="00686EE3" w:rsidRDefault="003414BC" w:rsidP="0055344F">
            <w:pPr>
              <w:autoSpaceDE w:val="0"/>
              <w:autoSpaceDN w:val="0"/>
              <w:adjustRightInd w:val="0"/>
              <w:jc w:val="both"/>
              <w:rPr>
                <w:rFonts w:ascii="Calibri" w:hAnsi="Calibri" w:cs="Arial"/>
                <w:bCs/>
                <w:color w:val="000000"/>
              </w:rPr>
            </w:pPr>
          </w:p>
          <w:p w14:paraId="7DAD2CCA"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5.0 Incentive</w:t>
            </w:r>
          </w:p>
          <w:p w14:paraId="779C4DCC" w14:textId="77777777" w:rsidR="003414BC" w:rsidRPr="00686EE3" w:rsidRDefault="003414BC" w:rsidP="0055344F">
            <w:pPr>
              <w:autoSpaceDE w:val="0"/>
              <w:autoSpaceDN w:val="0"/>
              <w:adjustRightInd w:val="0"/>
              <w:jc w:val="both"/>
              <w:rPr>
                <w:rFonts w:ascii="Calibri" w:hAnsi="Calibri" w:cs="Arial"/>
                <w:bCs/>
                <w:color w:val="000000"/>
              </w:rPr>
            </w:pPr>
          </w:p>
          <w:p w14:paraId="4261743C"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Please note that incentive payments will be affected by disciplinary action as per the policy.</w:t>
            </w:r>
          </w:p>
          <w:p w14:paraId="2FB4F5A5" w14:textId="77777777" w:rsidR="003414BC" w:rsidRPr="00686EE3" w:rsidRDefault="003414BC" w:rsidP="0055344F">
            <w:pPr>
              <w:autoSpaceDE w:val="0"/>
              <w:autoSpaceDN w:val="0"/>
              <w:adjustRightInd w:val="0"/>
              <w:jc w:val="both"/>
              <w:rPr>
                <w:rFonts w:ascii="Calibri" w:hAnsi="Calibri" w:cs="Arial"/>
                <w:color w:val="000000"/>
              </w:rPr>
            </w:pPr>
          </w:p>
          <w:p w14:paraId="4C40783B" w14:textId="77777777" w:rsidR="003414BC" w:rsidRPr="00686EE3" w:rsidRDefault="003414BC" w:rsidP="003414BC">
            <w:pPr>
              <w:numPr>
                <w:ilvl w:val="0"/>
                <w:numId w:val="16"/>
              </w:numPr>
              <w:autoSpaceDE w:val="0"/>
              <w:autoSpaceDN w:val="0"/>
              <w:adjustRightInd w:val="0"/>
              <w:jc w:val="both"/>
              <w:rPr>
                <w:rFonts w:ascii="Calibri" w:hAnsi="Calibri" w:cs="Arial"/>
                <w:bCs/>
                <w:color w:val="000000"/>
              </w:rPr>
            </w:pPr>
            <w:r w:rsidRPr="00686EE3">
              <w:rPr>
                <w:rFonts w:ascii="Calibri" w:hAnsi="Calibri" w:cs="Arial"/>
                <w:bCs/>
                <w:color w:val="000000"/>
              </w:rPr>
              <w:t>Notice Period</w:t>
            </w:r>
          </w:p>
          <w:p w14:paraId="60515F99" w14:textId="77777777" w:rsidR="003414BC" w:rsidRPr="00686EE3" w:rsidRDefault="003414BC" w:rsidP="0055344F">
            <w:pPr>
              <w:autoSpaceDE w:val="0"/>
              <w:autoSpaceDN w:val="0"/>
              <w:adjustRightInd w:val="0"/>
              <w:jc w:val="both"/>
              <w:rPr>
                <w:rFonts w:ascii="Calibri" w:hAnsi="Calibri" w:cs="Arial"/>
                <w:bCs/>
                <w:color w:val="000000"/>
              </w:rPr>
            </w:pPr>
          </w:p>
          <w:p w14:paraId="2CCD6D9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Please note that where a notice period does apply, (dependent upon the nature of termination) it is:</w:t>
            </w:r>
          </w:p>
          <w:p w14:paraId="5FF10640" w14:textId="77777777" w:rsidR="003414BC" w:rsidRPr="00686EE3" w:rsidRDefault="003414BC" w:rsidP="0055344F">
            <w:pPr>
              <w:autoSpaceDE w:val="0"/>
              <w:autoSpaceDN w:val="0"/>
              <w:adjustRightInd w:val="0"/>
              <w:jc w:val="both"/>
              <w:rPr>
                <w:rFonts w:ascii="Calibri" w:hAnsi="Calibri" w:cs="Arial"/>
                <w:color w:val="000000"/>
              </w:rPr>
            </w:pPr>
          </w:p>
          <w:p w14:paraId="3C89B664" w14:textId="77777777" w:rsidR="003414BC" w:rsidRDefault="003414BC" w:rsidP="0055344F">
            <w:pPr>
              <w:autoSpaceDE w:val="0"/>
              <w:autoSpaceDN w:val="0"/>
              <w:adjustRightInd w:val="0"/>
              <w:jc w:val="both"/>
              <w:rPr>
                <w:rFonts w:ascii="Calibri" w:hAnsi="Calibri" w:cs="Arial"/>
                <w:color w:val="000000"/>
              </w:rPr>
            </w:pPr>
          </w:p>
          <w:p w14:paraId="0A26FED0" w14:textId="77777777" w:rsidR="003414BC" w:rsidRPr="00686EE3" w:rsidRDefault="003414BC" w:rsidP="0055344F">
            <w:pPr>
              <w:autoSpaceDE w:val="0"/>
              <w:autoSpaceDN w:val="0"/>
              <w:adjustRightInd w:val="0"/>
              <w:jc w:val="both"/>
              <w:rPr>
                <w:rFonts w:ascii="Calibri" w:hAnsi="Calibri" w:cs="Arial"/>
                <w:color w:val="000000"/>
              </w:rPr>
            </w:pPr>
          </w:p>
          <w:p w14:paraId="150A14EE" w14:textId="77777777"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t>As agreed in the Employment Contract.</w:t>
            </w:r>
          </w:p>
          <w:p w14:paraId="3ED1BE1C" w14:textId="3FC15D7F"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t xml:space="preserve">The minimum requirements of the </w:t>
            </w:r>
            <w:r w:rsidR="00A748E1">
              <w:rPr>
                <w:rFonts w:ascii="Calibri" w:hAnsi="Calibri" w:cs="Arial"/>
                <w:color w:val="000000"/>
              </w:rPr>
              <w:t>Jordanian</w:t>
            </w:r>
            <w:r w:rsidRPr="00686EE3">
              <w:rPr>
                <w:rFonts w:ascii="Calibri" w:hAnsi="Calibri" w:cs="Arial"/>
                <w:color w:val="000000"/>
              </w:rPr>
              <w:t xml:space="preserve"> Labor Law where no specific</w:t>
            </w:r>
            <w:r>
              <w:rPr>
                <w:rFonts w:ascii="Calibri" w:hAnsi="Calibri" w:cs="Arial"/>
                <w:color w:val="000000"/>
              </w:rPr>
              <w:t xml:space="preserve"> </w:t>
            </w:r>
            <w:r w:rsidRPr="00686EE3">
              <w:rPr>
                <w:rFonts w:ascii="Calibri" w:hAnsi="Calibri" w:cs="Arial"/>
                <w:color w:val="000000"/>
              </w:rPr>
              <w:lastRenderedPageBreak/>
              <w:t xml:space="preserve">agreement is stipulated. </w:t>
            </w:r>
          </w:p>
          <w:p w14:paraId="0F77153C" w14:textId="77777777"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t>QRM investigation procedure should also be read in conjunction with this policy guideline</w:t>
            </w:r>
          </w:p>
          <w:p w14:paraId="66766933" w14:textId="77777777" w:rsidR="003414BC" w:rsidRPr="00686EE3" w:rsidRDefault="003414BC" w:rsidP="0055344F">
            <w:pPr>
              <w:jc w:val="both"/>
              <w:rPr>
                <w:rFonts w:ascii="Calibri" w:hAnsi="Calibri" w:cs="Arial"/>
              </w:rPr>
            </w:pPr>
          </w:p>
          <w:p w14:paraId="67AEB187" w14:textId="77777777" w:rsidR="003414BC" w:rsidRPr="00686EE3" w:rsidRDefault="003414BC" w:rsidP="0055344F">
            <w:pPr>
              <w:jc w:val="both"/>
              <w:rPr>
                <w:rFonts w:ascii="Calibri" w:hAnsi="Calibri" w:cs="Arial"/>
              </w:rPr>
            </w:pPr>
            <w:r w:rsidRPr="00686EE3">
              <w:rPr>
                <w:rFonts w:ascii="Calibri" w:hAnsi="Calibri" w:cs="Arial"/>
                <w:bCs/>
              </w:rPr>
              <w:t>Disciplinary</w:t>
            </w:r>
            <w:r w:rsidRPr="00686EE3">
              <w:rPr>
                <w:rFonts w:ascii="Calibri" w:hAnsi="Calibri" w:cs="Arial"/>
              </w:rPr>
              <w:t xml:space="preserve"> Procedure</w:t>
            </w:r>
          </w:p>
          <w:p w14:paraId="33DD6661" w14:textId="77777777" w:rsidR="003414BC" w:rsidRPr="00686EE3" w:rsidRDefault="003414BC" w:rsidP="0055344F">
            <w:pPr>
              <w:pStyle w:val="BodyTextIndent2"/>
              <w:ind w:left="0"/>
              <w:rPr>
                <w:rFonts w:ascii="Calibri" w:hAnsi="Calibri"/>
                <w:bCs w:val="0"/>
                <w:color w:val="7F007F"/>
                <w:sz w:val="24"/>
                <w:szCs w:val="24"/>
              </w:rPr>
            </w:pPr>
          </w:p>
          <w:p w14:paraId="4FAD6503" w14:textId="77777777" w:rsidR="003414BC" w:rsidRPr="00686EE3" w:rsidRDefault="003414BC" w:rsidP="0055344F">
            <w:pPr>
              <w:jc w:val="both"/>
              <w:rPr>
                <w:rFonts w:ascii="Calibri" w:hAnsi="Calibri" w:cs="Arial"/>
              </w:rPr>
            </w:pPr>
            <w:r w:rsidRPr="00686EE3">
              <w:rPr>
                <w:rFonts w:ascii="Calibri" w:hAnsi="Calibri" w:cs="Arial"/>
              </w:rPr>
              <w:t>Purpose:</w:t>
            </w:r>
          </w:p>
          <w:p w14:paraId="4A0912C2" w14:textId="77777777" w:rsidR="003414BC" w:rsidRPr="00686EE3" w:rsidRDefault="003414BC" w:rsidP="0055344F">
            <w:pPr>
              <w:jc w:val="both"/>
              <w:rPr>
                <w:rFonts w:ascii="Calibri" w:hAnsi="Calibri" w:cs="Arial"/>
              </w:rPr>
            </w:pPr>
          </w:p>
          <w:p w14:paraId="5921812E" w14:textId="77777777" w:rsidR="003414BC" w:rsidRPr="00686EE3" w:rsidRDefault="003414BC" w:rsidP="0055344F">
            <w:pPr>
              <w:jc w:val="both"/>
              <w:rPr>
                <w:rFonts w:ascii="Calibri" w:hAnsi="Calibri" w:cs="Arial"/>
              </w:rPr>
            </w:pPr>
            <w:r w:rsidRPr="00686EE3">
              <w:rPr>
                <w:rFonts w:ascii="Calibri" w:hAnsi="Calibri" w:cs="Arial"/>
              </w:rPr>
              <w:t xml:space="preserve">To discipline the employee who do not comply with SLL and Company Policy. </w:t>
            </w:r>
          </w:p>
          <w:p w14:paraId="7565A058" w14:textId="77777777" w:rsidR="003414BC" w:rsidRPr="00686EE3" w:rsidRDefault="003414BC" w:rsidP="0055344F">
            <w:pPr>
              <w:jc w:val="both"/>
              <w:rPr>
                <w:rFonts w:ascii="Calibri" w:hAnsi="Calibri" w:cs="Arial"/>
                <w:bCs/>
              </w:rPr>
            </w:pPr>
          </w:p>
          <w:p w14:paraId="56C5399E" w14:textId="77777777" w:rsidR="003414BC" w:rsidRPr="00686EE3" w:rsidRDefault="003414BC" w:rsidP="0055344F">
            <w:pPr>
              <w:jc w:val="both"/>
              <w:rPr>
                <w:rFonts w:ascii="Calibri" w:hAnsi="Calibri" w:cs="Arial"/>
                <w:bCs/>
              </w:rPr>
            </w:pPr>
            <w:r w:rsidRPr="00686EE3">
              <w:rPr>
                <w:rFonts w:ascii="Calibri" w:hAnsi="Calibri" w:cs="Arial"/>
                <w:bCs/>
              </w:rPr>
              <w:t>Procedure:</w:t>
            </w:r>
          </w:p>
          <w:p w14:paraId="674040BB" w14:textId="77777777" w:rsidR="003414BC" w:rsidRPr="00686EE3" w:rsidRDefault="003414BC" w:rsidP="0055344F">
            <w:pPr>
              <w:jc w:val="both"/>
              <w:rPr>
                <w:rFonts w:ascii="Calibri" w:hAnsi="Calibri" w:cs="Arial"/>
              </w:rPr>
            </w:pPr>
          </w:p>
          <w:p w14:paraId="27003A13" w14:textId="77777777" w:rsidR="003414BC" w:rsidRPr="00686EE3" w:rsidRDefault="003414BC" w:rsidP="0055344F">
            <w:pPr>
              <w:ind w:left="252"/>
              <w:jc w:val="both"/>
              <w:rPr>
                <w:rFonts w:ascii="Calibri" w:hAnsi="Calibri" w:cs="Arial"/>
              </w:rPr>
            </w:pPr>
            <w:r w:rsidRPr="00686EE3">
              <w:rPr>
                <w:rFonts w:ascii="Calibri" w:hAnsi="Calibri" w:cs="Arial"/>
              </w:rPr>
              <w:t>If the manager needs to warn an employee, then the following stages must be followed:</w:t>
            </w:r>
          </w:p>
          <w:p w14:paraId="4EC0B335" w14:textId="77777777" w:rsidR="003414BC" w:rsidRPr="00686EE3" w:rsidRDefault="003414BC" w:rsidP="0055344F">
            <w:pPr>
              <w:jc w:val="both"/>
              <w:rPr>
                <w:rFonts w:ascii="Calibri" w:hAnsi="Calibri" w:cs="Arial"/>
              </w:rPr>
            </w:pPr>
          </w:p>
          <w:p w14:paraId="51A7DCF5" w14:textId="77777777" w:rsidR="003414BC" w:rsidRPr="00686EE3" w:rsidRDefault="003414BC" w:rsidP="003414BC">
            <w:pPr>
              <w:numPr>
                <w:ilvl w:val="0"/>
                <w:numId w:val="5"/>
              </w:numPr>
              <w:jc w:val="both"/>
              <w:rPr>
                <w:rFonts w:ascii="Calibri" w:hAnsi="Calibri" w:cs="Arial"/>
                <w:bCs/>
              </w:rPr>
            </w:pPr>
            <w:r w:rsidRPr="00686EE3">
              <w:rPr>
                <w:rFonts w:ascii="Calibri" w:hAnsi="Calibri" w:cs="Arial"/>
                <w:bCs/>
              </w:rPr>
              <w:t xml:space="preserve">Counseling: </w:t>
            </w:r>
          </w:p>
          <w:p w14:paraId="2FD481A4" w14:textId="77777777" w:rsidR="003414BC" w:rsidRPr="00686EE3" w:rsidRDefault="003414BC" w:rsidP="0055344F">
            <w:pPr>
              <w:ind w:left="360"/>
              <w:jc w:val="both"/>
              <w:rPr>
                <w:rFonts w:ascii="Calibri" w:hAnsi="Calibri" w:cs="Arial"/>
              </w:rPr>
            </w:pPr>
          </w:p>
          <w:p w14:paraId="067E33DE" w14:textId="77777777" w:rsidR="003414BC" w:rsidRPr="00686EE3" w:rsidRDefault="003414BC" w:rsidP="003414BC">
            <w:pPr>
              <w:numPr>
                <w:ilvl w:val="0"/>
                <w:numId w:val="18"/>
              </w:numPr>
              <w:jc w:val="both"/>
              <w:rPr>
                <w:rFonts w:ascii="Calibri" w:hAnsi="Calibri" w:cs="Arial"/>
              </w:rPr>
            </w:pPr>
            <w:r w:rsidRPr="00686EE3">
              <w:rPr>
                <w:rFonts w:ascii="Calibri" w:hAnsi="Calibri" w:cs="Arial"/>
              </w:rPr>
              <w:t>Counseling explains certain issues that the manager has had with an employee. First the manager and the employee should have a verbal counseling session, and then jointly they should develop performance improvement plan. Then the manager can issue Counseling. A copy signed by the employee and the manager specifying the date and subject of the counseling form must be kept in the manager’s file (warning letters’ file), and a copy to the employee’s personal file.</w:t>
            </w:r>
          </w:p>
          <w:p w14:paraId="32988379" w14:textId="77777777" w:rsidR="003414BC" w:rsidRPr="00686EE3" w:rsidRDefault="003414BC" w:rsidP="003414BC">
            <w:pPr>
              <w:numPr>
                <w:ilvl w:val="0"/>
                <w:numId w:val="18"/>
              </w:numPr>
              <w:jc w:val="both"/>
              <w:rPr>
                <w:rFonts w:ascii="Calibri" w:hAnsi="Calibri" w:cs="Arial"/>
              </w:rPr>
            </w:pPr>
            <w:r w:rsidRPr="00686EE3">
              <w:rPr>
                <w:rFonts w:ascii="Calibri" w:hAnsi="Calibri" w:cs="Arial"/>
              </w:rPr>
              <w:t xml:space="preserve">Counseling is not warning letters and as such is not part of the disciplinary action, although these letters can serve as proof of deficiencies.  </w:t>
            </w:r>
          </w:p>
          <w:p w14:paraId="1FF878CC" w14:textId="77777777" w:rsidR="003414BC" w:rsidRPr="00686EE3" w:rsidRDefault="003414BC" w:rsidP="0055344F">
            <w:pPr>
              <w:ind w:left="360"/>
              <w:jc w:val="both"/>
              <w:rPr>
                <w:rFonts w:ascii="Calibri" w:hAnsi="Calibri" w:cs="Arial"/>
              </w:rPr>
            </w:pPr>
          </w:p>
          <w:p w14:paraId="1A3EFAA9" w14:textId="77777777" w:rsidR="003414BC" w:rsidRPr="00686EE3" w:rsidRDefault="003414BC" w:rsidP="003414BC">
            <w:pPr>
              <w:numPr>
                <w:ilvl w:val="0"/>
                <w:numId w:val="5"/>
              </w:numPr>
              <w:jc w:val="both"/>
              <w:rPr>
                <w:rFonts w:ascii="Calibri" w:hAnsi="Calibri" w:cs="Arial"/>
                <w:bCs/>
              </w:rPr>
            </w:pPr>
            <w:r w:rsidRPr="00686EE3">
              <w:rPr>
                <w:rFonts w:ascii="Calibri" w:hAnsi="Calibri" w:cs="Arial"/>
                <w:bCs/>
              </w:rPr>
              <w:t xml:space="preserve">First Warning Letter: </w:t>
            </w:r>
          </w:p>
          <w:p w14:paraId="7D22E2FB" w14:textId="77777777" w:rsidR="003414BC" w:rsidRPr="00686EE3" w:rsidRDefault="003414BC" w:rsidP="0055344F">
            <w:pPr>
              <w:ind w:left="360"/>
              <w:jc w:val="both"/>
              <w:rPr>
                <w:rFonts w:ascii="Calibri" w:hAnsi="Calibri" w:cs="Arial"/>
              </w:rPr>
            </w:pPr>
          </w:p>
          <w:p w14:paraId="3E6AC33A" w14:textId="77777777" w:rsidR="003414BC" w:rsidRDefault="003414BC" w:rsidP="003414BC">
            <w:pPr>
              <w:numPr>
                <w:ilvl w:val="0"/>
                <w:numId w:val="19"/>
              </w:numPr>
              <w:spacing w:after="120"/>
              <w:jc w:val="both"/>
              <w:rPr>
                <w:rFonts w:ascii="Calibri" w:hAnsi="Calibri" w:cs="Arial"/>
              </w:rPr>
            </w:pPr>
            <w:r w:rsidRPr="00686EE3">
              <w:rPr>
                <w:rFonts w:ascii="Calibri" w:hAnsi="Calibri" w:cs="Arial"/>
              </w:rPr>
              <w:t>When the deficiency warrants more than counseling, or if further evidence of the deficiency continues, a written communications must be sent to HR by direct manager in order to issue first warning letter from HR end to Employee. A copy of the warning, signed either by the employee or two witnesses, is kept in the manager’s file (warning letters’ file) and a copy t</w:t>
            </w:r>
            <w:r>
              <w:rPr>
                <w:rFonts w:ascii="Calibri" w:hAnsi="Calibri" w:cs="Arial"/>
              </w:rPr>
              <w:t>o the employee’s personal file.</w:t>
            </w:r>
          </w:p>
          <w:p w14:paraId="20D04E48" w14:textId="77777777" w:rsidR="003414BC" w:rsidRPr="00262535" w:rsidRDefault="003414BC" w:rsidP="0055344F">
            <w:pPr>
              <w:spacing w:after="120"/>
              <w:jc w:val="both"/>
              <w:rPr>
                <w:rFonts w:ascii="Calibri" w:hAnsi="Calibri" w:cs="Arial"/>
              </w:rPr>
            </w:pPr>
          </w:p>
          <w:p w14:paraId="7257DB32" w14:textId="77777777" w:rsidR="003414BC" w:rsidRPr="00686EE3" w:rsidRDefault="003414BC" w:rsidP="003414BC">
            <w:pPr>
              <w:numPr>
                <w:ilvl w:val="0"/>
                <w:numId w:val="19"/>
              </w:numPr>
              <w:spacing w:before="240"/>
              <w:jc w:val="both"/>
              <w:rPr>
                <w:rFonts w:ascii="Calibri" w:hAnsi="Calibri" w:cs="Arial"/>
              </w:rPr>
            </w:pPr>
            <w:r w:rsidRPr="00686EE3">
              <w:rPr>
                <w:rFonts w:ascii="Calibri" w:hAnsi="Calibri" w:cs="Arial"/>
              </w:rPr>
              <w:t xml:space="preserve">The first warning letter will deprive the employee from the current six-month-incentive, and disqualify him from the employees’ loan program for 6 months from the date of the first warning letter. </w:t>
            </w:r>
          </w:p>
          <w:p w14:paraId="2F811276" w14:textId="77777777" w:rsidR="003414BC" w:rsidRPr="00686EE3" w:rsidRDefault="003414BC" w:rsidP="003414BC">
            <w:pPr>
              <w:numPr>
                <w:ilvl w:val="0"/>
                <w:numId w:val="19"/>
              </w:numPr>
              <w:jc w:val="both"/>
              <w:rPr>
                <w:rFonts w:ascii="Calibri" w:hAnsi="Calibri" w:cs="Arial"/>
              </w:rPr>
            </w:pPr>
            <w:r w:rsidRPr="00686EE3">
              <w:rPr>
                <w:rFonts w:ascii="Calibri" w:hAnsi="Calibri" w:cs="Arial"/>
              </w:rPr>
              <w:t xml:space="preserve">The first warning letter expires after 6 months, subject to the attainment </w:t>
            </w:r>
            <w:r w:rsidRPr="00686EE3">
              <w:rPr>
                <w:rFonts w:ascii="Calibri" w:hAnsi="Calibri" w:cs="Arial"/>
              </w:rPr>
              <w:lastRenderedPageBreak/>
              <w:t>and maintenance of acceptable standards, and then it must</w:t>
            </w:r>
            <w:r w:rsidRPr="00686EE3">
              <w:rPr>
                <w:rFonts w:ascii="Calibri" w:hAnsi="Calibri" w:cs="Arial"/>
                <w:bCs/>
              </w:rPr>
              <w:t xml:space="preserve"> </w:t>
            </w:r>
            <w:r w:rsidRPr="00686EE3">
              <w:rPr>
                <w:rFonts w:ascii="Calibri" w:hAnsi="Calibri" w:cs="Arial"/>
              </w:rPr>
              <w:t>be marked/stamped “INACTIVE”.</w:t>
            </w:r>
          </w:p>
          <w:p w14:paraId="05AE181B" w14:textId="77777777" w:rsidR="003414BC" w:rsidRDefault="003414BC" w:rsidP="003414BC">
            <w:pPr>
              <w:numPr>
                <w:ilvl w:val="0"/>
                <w:numId w:val="19"/>
              </w:numPr>
              <w:jc w:val="both"/>
              <w:rPr>
                <w:rFonts w:ascii="Calibri" w:hAnsi="Calibri" w:cs="Arial"/>
              </w:rPr>
            </w:pPr>
            <w:r w:rsidRPr="00686EE3">
              <w:rPr>
                <w:rFonts w:ascii="Calibri" w:hAnsi="Calibri" w:cs="Arial"/>
              </w:rPr>
              <w:t>“INACTIVE” warning letters have no affect on incentives, employee’s loan facility and/or promotions, but they still serve as a proof of deficiency and are counted towards termination.</w:t>
            </w:r>
          </w:p>
          <w:p w14:paraId="02DF721E" w14:textId="77777777" w:rsidR="003414BC" w:rsidRPr="00686EE3" w:rsidRDefault="003414BC" w:rsidP="003414BC">
            <w:pPr>
              <w:numPr>
                <w:ilvl w:val="0"/>
                <w:numId w:val="19"/>
              </w:numPr>
              <w:jc w:val="both"/>
              <w:rPr>
                <w:rFonts w:ascii="Calibri" w:hAnsi="Calibri" w:cs="Arial"/>
              </w:rPr>
            </w:pPr>
            <w:r>
              <w:rPr>
                <w:rFonts w:ascii="Calibri" w:hAnsi="Calibri" w:cs="Arial"/>
              </w:rPr>
              <w:t>The employee’s annual merit increase will be deprived.</w:t>
            </w:r>
          </w:p>
          <w:p w14:paraId="5129A61D" w14:textId="77777777" w:rsidR="003414BC" w:rsidRPr="00686EE3" w:rsidRDefault="003414BC" w:rsidP="0055344F">
            <w:pPr>
              <w:ind w:left="612"/>
              <w:jc w:val="both"/>
              <w:rPr>
                <w:rFonts w:ascii="Calibri" w:hAnsi="Calibri"/>
              </w:rPr>
            </w:pPr>
            <w:r w:rsidRPr="00686EE3">
              <w:rPr>
                <w:rFonts w:ascii="Calibri" w:hAnsi="Calibri"/>
              </w:rPr>
              <w:t xml:space="preserve">  </w:t>
            </w:r>
          </w:p>
          <w:p w14:paraId="45D68FBD" w14:textId="77777777" w:rsidR="003414BC" w:rsidRPr="00686EE3" w:rsidRDefault="003414BC" w:rsidP="003414BC">
            <w:pPr>
              <w:numPr>
                <w:ilvl w:val="0"/>
                <w:numId w:val="5"/>
              </w:numPr>
              <w:jc w:val="both"/>
              <w:rPr>
                <w:rFonts w:ascii="Calibri" w:hAnsi="Calibri" w:cs="Arial"/>
              </w:rPr>
            </w:pPr>
            <w:r w:rsidRPr="00686EE3">
              <w:rPr>
                <w:rFonts w:ascii="Calibri" w:hAnsi="Calibri" w:cs="Arial"/>
                <w:bCs/>
              </w:rPr>
              <w:t>Second Warning Letter</w:t>
            </w:r>
            <w:r w:rsidRPr="00686EE3">
              <w:rPr>
                <w:rFonts w:ascii="Calibri" w:hAnsi="Calibri" w:cs="Arial"/>
              </w:rPr>
              <w:t xml:space="preserve">: </w:t>
            </w:r>
          </w:p>
          <w:p w14:paraId="5355110A" w14:textId="77777777" w:rsidR="003414BC" w:rsidRPr="00686EE3" w:rsidRDefault="003414BC" w:rsidP="0055344F">
            <w:pPr>
              <w:ind w:left="360"/>
              <w:jc w:val="both"/>
              <w:rPr>
                <w:rFonts w:ascii="Calibri" w:hAnsi="Calibri" w:cs="Arial"/>
              </w:rPr>
            </w:pPr>
          </w:p>
          <w:p w14:paraId="017B7C23"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When the deficiency warrants more than a first warning letter within six months timeframe of first warning letter, or if further evidence of the deficiency continues, a written communications must be sent to HR by direct manager in order to issue second warning letter from HR end to Employee. A copy of the warning, signed either by the employee or two witnesses, is kept in the manager’s file (warning letters’ file) and a copy to the employee’s personal file. </w:t>
            </w:r>
          </w:p>
          <w:p w14:paraId="7955F379"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The second warning letter may be the result of progressive discipline or, if the case is sufficiently serious, may be used to bring to the attention of the employee the severity of his situation and the implications of his failure to rectify the deficiency.</w:t>
            </w:r>
          </w:p>
          <w:p w14:paraId="716A61F7"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A copy of the second warning letter, signed either by the employee or the two witnesses, is kept in the manager’s warning letters’ file and a copy to the employee’s personal file. </w:t>
            </w:r>
          </w:p>
          <w:p w14:paraId="193D3399"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The second warning letter will deprive the employee from the current six-month-incentive, and disqualify him from employees’ loan program from the date of the second warning letter. </w:t>
            </w:r>
          </w:p>
          <w:p w14:paraId="5BF13997" w14:textId="77777777" w:rsidR="003414BC" w:rsidRDefault="003414BC" w:rsidP="003414BC">
            <w:pPr>
              <w:numPr>
                <w:ilvl w:val="0"/>
                <w:numId w:val="20"/>
              </w:numPr>
              <w:jc w:val="both"/>
              <w:rPr>
                <w:rFonts w:ascii="Calibri" w:hAnsi="Calibri" w:cs="Arial"/>
              </w:rPr>
            </w:pPr>
            <w:r w:rsidRPr="00686EE3">
              <w:rPr>
                <w:rFonts w:ascii="Calibri" w:hAnsi="Calibri" w:cs="Arial"/>
              </w:rPr>
              <w:t>The second warning will expire after 6 months subject to the attainment and maintenance of acceptable standards, and then it must</w:t>
            </w:r>
            <w:r w:rsidRPr="00686EE3">
              <w:rPr>
                <w:rFonts w:ascii="Calibri" w:hAnsi="Calibri" w:cs="Arial"/>
                <w:bCs/>
              </w:rPr>
              <w:t xml:space="preserve"> </w:t>
            </w:r>
            <w:r w:rsidRPr="00686EE3">
              <w:rPr>
                <w:rFonts w:ascii="Calibri" w:hAnsi="Calibri" w:cs="Arial"/>
              </w:rPr>
              <w:t>be marked/stamped “INACTIVE”.</w:t>
            </w:r>
          </w:p>
          <w:p w14:paraId="503B3ADC" w14:textId="77777777" w:rsidR="003414BC" w:rsidRPr="00686EE3" w:rsidRDefault="003414BC" w:rsidP="003414BC">
            <w:pPr>
              <w:numPr>
                <w:ilvl w:val="0"/>
                <w:numId w:val="20"/>
              </w:numPr>
              <w:jc w:val="both"/>
              <w:rPr>
                <w:rFonts w:ascii="Calibri" w:hAnsi="Calibri" w:cs="Arial"/>
              </w:rPr>
            </w:pPr>
            <w:r>
              <w:rPr>
                <w:rFonts w:ascii="Calibri" w:hAnsi="Calibri" w:cs="Arial"/>
              </w:rPr>
              <w:t>The employee’s annual merit increase will be deprived.</w:t>
            </w:r>
          </w:p>
          <w:p w14:paraId="0B4DDE12" w14:textId="77777777" w:rsidR="003414BC" w:rsidRDefault="003414BC" w:rsidP="0055344F">
            <w:pPr>
              <w:ind w:left="612"/>
              <w:jc w:val="both"/>
              <w:rPr>
                <w:rFonts w:ascii="Calibri" w:hAnsi="Calibri" w:cs="Arial"/>
              </w:rPr>
            </w:pPr>
          </w:p>
          <w:p w14:paraId="454D0B57" w14:textId="77777777" w:rsidR="003414BC" w:rsidRDefault="003414BC" w:rsidP="0055344F">
            <w:pPr>
              <w:ind w:left="612"/>
              <w:jc w:val="both"/>
              <w:rPr>
                <w:rFonts w:ascii="Calibri" w:hAnsi="Calibri" w:cs="Arial"/>
              </w:rPr>
            </w:pPr>
          </w:p>
          <w:p w14:paraId="37B8E84A" w14:textId="77777777" w:rsidR="003414BC" w:rsidRDefault="003414BC" w:rsidP="0055344F">
            <w:pPr>
              <w:ind w:left="612"/>
              <w:jc w:val="both"/>
              <w:rPr>
                <w:rFonts w:ascii="Calibri" w:hAnsi="Calibri" w:cs="Arial"/>
              </w:rPr>
            </w:pPr>
          </w:p>
          <w:p w14:paraId="4BB43700" w14:textId="77777777" w:rsidR="003414BC" w:rsidRDefault="003414BC" w:rsidP="0055344F">
            <w:pPr>
              <w:ind w:left="612"/>
              <w:jc w:val="both"/>
              <w:rPr>
                <w:rFonts w:ascii="Calibri" w:hAnsi="Calibri" w:cs="Arial"/>
              </w:rPr>
            </w:pPr>
          </w:p>
          <w:p w14:paraId="5BAEC5DA" w14:textId="77777777" w:rsidR="003414BC" w:rsidRDefault="003414BC" w:rsidP="0055344F">
            <w:pPr>
              <w:ind w:left="612"/>
              <w:jc w:val="both"/>
              <w:rPr>
                <w:rFonts w:ascii="Calibri" w:hAnsi="Calibri" w:cs="Arial"/>
              </w:rPr>
            </w:pPr>
          </w:p>
          <w:p w14:paraId="5AE927A4" w14:textId="77777777" w:rsidR="003414BC" w:rsidRPr="00686EE3" w:rsidRDefault="003414BC" w:rsidP="0055344F">
            <w:pPr>
              <w:ind w:left="612"/>
              <w:jc w:val="both"/>
              <w:rPr>
                <w:rFonts w:ascii="Calibri" w:hAnsi="Calibri" w:cs="Arial"/>
              </w:rPr>
            </w:pPr>
          </w:p>
          <w:p w14:paraId="3DA2AA8D" w14:textId="77777777" w:rsidR="003414BC" w:rsidRPr="00686EE3" w:rsidRDefault="003414BC" w:rsidP="003414BC">
            <w:pPr>
              <w:numPr>
                <w:ilvl w:val="1"/>
                <w:numId w:val="5"/>
              </w:numPr>
              <w:jc w:val="both"/>
              <w:rPr>
                <w:rFonts w:ascii="Calibri" w:hAnsi="Calibri" w:cs="Arial"/>
              </w:rPr>
            </w:pPr>
            <w:r w:rsidRPr="00686EE3">
              <w:rPr>
                <w:rFonts w:ascii="Calibri" w:hAnsi="Calibri" w:cs="Arial"/>
              </w:rPr>
              <w:t xml:space="preserve">Eligibility Issues: </w:t>
            </w:r>
          </w:p>
          <w:p w14:paraId="2475B340" w14:textId="77777777" w:rsidR="003414BC" w:rsidRPr="00686EE3" w:rsidRDefault="003414BC" w:rsidP="0055344F">
            <w:pPr>
              <w:ind w:left="360"/>
              <w:jc w:val="both"/>
              <w:rPr>
                <w:rFonts w:ascii="Calibri" w:hAnsi="Calibri" w:cs="Arial"/>
              </w:rPr>
            </w:pPr>
          </w:p>
          <w:p w14:paraId="526A516D" w14:textId="77777777" w:rsidR="003414BC" w:rsidRPr="00686EE3" w:rsidRDefault="003414BC" w:rsidP="003414BC">
            <w:pPr>
              <w:numPr>
                <w:ilvl w:val="0"/>
                <w:numId w:val="6"/>
              </w:numPr>
              <w:jc w:val="both"/>
              <w:rPr>
                <w:rFonts w:ascii="Calibri" w:hAnsi="Calibri" w:cs="Arial"/>
              </w:rPr>
            </w:pPr>
            <w:r w:rsidRPr="00686EE3">
              <w:rPr>
                <w:rFonts w:ascii="Calibri" w:hAnsi="Calibri" w:cs="Arial"/>
              </w:rPr>
              <w:t>For clarification, pls. refer to the table below:</w:t>
            </w:r>
          </w:p>
          <w:p w14:paraId="53C29EC2" w14:textId="77777777" w:rsidR="003414BC" w:rsidRPr="00686EE3" w:rsidRDefault="003414BC" w:rsidP="0055344F">
            <w:pPr>
              <w:ind w:left="1080"/>
              <w:jc w:val="both"/>
              <w:rPr>
                <w:rFonts w:ascii="Calibri" w:hAnsi="Calibri" w:cs="Arial"/>
              </w:rPr>
            </w:pPr>
          </w:p>
          <w:tbl>
            <w:tblPr>
              <w:tblW w:w="79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50"/>
              <w:gridCol w:w="1350"/>
              <w:gridCol w:w="2340"/>
              <w:gridCol w:w="1890"/>
            </w:tblGrid>
            <w:tr w:rsidR="003414BC" w:rsidRPr="00686EE3" w14:paraId="359D7A98" w14:textId="77777777" w:rsidTr="0055344F">
              <w:trPr>
                <w:trHeight w:val="728"/>
              </w:trPr>
              <w:tc>
                <w:tcPr>
                  <w:tcW w:w="990" w:type="dxa"/>
                  <w:shd w:val="clear" w:color="auto" w:fill="D9D9D9"/>
                </w:tcPr>
                <w:p w14:paraId="6C516259" w14:textId="77777777" w:rsidR="003414BC" w:rsidRPr="00686EE3" w:rsidRDefault="003414BC" w:rsidP="0055344F">
                  <w:pPr>
                    <w:jc w:val="center"/>
                    <w:rPr>
                      <w:rFonts w:ascii="Calibri" w:hAnsi="Calibri"/>
                      <w:bCs/>
                    </w:rPr>
                  </w:pPr>
                  <w:r w:rsidRPr="00686EE3">
                    <w:rPr>
                      <w:rFonts w:ascii="Calibri" w:hAnsi="Calibri"/>
                      <w:bCs/>
                    </w:rPr>
                    <w:lastRenderedPageBreak/>
                    <w:t>Sr. No.</w:t>
                  </w:r>
                </w:p>
              </w:tc>
              <w:tc>
                <w:tcPr>
                  <w:tcW w:w="1350" w:type="dxa"/>
                  <w:shd w:val="clear" w:color="auto" w:fill="D9D9D9"/>
                </w:tcPr>
                <w:p w14:paraId="0936E36D" w14:textId="77777777" w:rsidR="003414BC" w:rsidRPr="00686EE3" w:rsidRDefault="003414BC" w:rsidP="0055344F">
                  <w:pPr>
                    <w:jc w:val="center"/>
                    <w:rPr>
                      <w:rFonts w:ascii="Calibri" w:hAnsi="Calibri"/>
                      <w:bCs/>
                    </w:rPr>
                  </w:pPr>
                  <w:r w:rsidRPr="00686EE3">
                    <w:rPr>
                      <w:rFonts w:ascii="Calibri" w:hAnsi="Calibri"/>
                      <w:bCs/>
                    </w:rPr>
                    <w:t>Warning Letters</w:t>
                  </w:r>
                </w:p>
              </w:tc>
              <w:tc>
                <w:tcPr>
                  <w:tcW w:w="1350" w:type="dxa"/>
                  <w:shd w:val="clear" w:color="auto" w:fill="D9D9D9"/>
                </w:tcPr>
                <w:p w14:paraId="19BF8013" w14:textId="77777777" w:rsidR="003414BC" w:rsidRPr="00686EE3" w:rsidRDefault="003414BC" w:rsidP="0055344F">
                  <w:pPr>
                    <w:jc w:val="center"/>
                    <w:rPr>
                      <w:rFonts w:ascii="Calibri" w:hAnsi="Calibri"/>
                      <w:bCs/>
                    </w:rPr>
                  </w:pPr>
                  <w:r w:rsidRPr="00686EE3">
                    <w:rPr>
                      <w:rFonts w:ascii="Calibri" w:hAnsi="Calibri"/>
                      <w:bCs/>
                    </w:rPr>
                    <w:t>Date of the Warning</w:t>
                  </w:r>
                </w:p>
              </w:tc>
              <w:tc>
                <w:tcPr>
                  <w:tcW w:w="2340" w:type="dxa"/>
                  <w:shd w:val="clear" w:color="auto" w:fill="D9D9D9"/>
                </w:tcPr>
                <w:p w14:paraId="62A12A93" w14:textId="77777777" w:rsidR="003414BC" w:rsidRPr="00686EE3" w:rsidRDefault="003414BC" w:rsidP="0055344F">
                  <w:pPr>
                    <w:jc w:val="center"/>
                    <w:rPr>
                      <w:rFonts w:ascii="Calibri" w:hAnsi="Calibri"/>
                      <w:bCs/>
                    </w:rPr>
                  </w:pPr>
                  <w:r w:rsidRPr="00686EE3">
                    <w:rPr>
                      <w:rFonts w:ascii="Calibri" w:hAnsi="Calibri"/>
                      <w:bCs/>
                    </w:rPr>
                    <w:t>Incentives</w:t>
                  </w:r>
                </w:p>
                <w:p w14:paraId="5BEB22CA" w14:textId="77777777" w:rsidR="003414BC" w:rsidRPr="00686EE3" w:rsidRDefault="003414BC" w:rsidP="0055344F">
                  <w:pPr>
                    <w:jc w:val="center"/>
                    <w:rPr>
                      <w:rFonts w:ascii="Calibri" w:hAnsi="Calibri"/>
                      <w:bCs/>
                    </w:rPr>
                  </w:pPr>
                  <w:r w:rsidRPr="00686EE3">
                    <w:rPr>
                      <w:rFonts w:ascii="Calibri" w:hAnsi="Calibri"/>
                      <w:bCs/>
                    </w:rPr>
                    <w:t>(June to Nov)</w:t>
                  </w:r>
                </w:p>
                <w:p w14:paraId="66A293F8" w14:textId="77777777" w:rsidR="003414BC" w:rsidRPr="00686EE3" w:rsidRDefault="003414BC" w:rsidP="0055344F">
                  <w:pPr>
                    <w:jc w:val="center"/>
                    <w:rPr>
                      <w:rFonts w:ascii="Calibri" w:hAnsi="Calibri"/>
                      <w:bCs/>
                    </w:rPr>
                  </w:pPr>
                  <w:r w:rsidRPr="00686EE3">
                    <w:rPr>
                      <w:rFonts w:ascii="Calibri" w:hAnsi="Calibri"/>
                      <w:bCs/>
                    </w:rPr>
                    <w:t>(Dec to May)</w:t>
                  </w:r>
                </w:p>
              </w:tc>
              <w:tc>
                <w:tcPr>
                  <w:tcW w:w="1890" w:type="dxa"/>
                  <w:shd w:val="clear" w:color="auto" w:fill="D9D9D9"/>
                </w:tcPr>
                <w:p w14:paraId="06138337" w14:textId="77777777" w:rsidR="003414BC" w:rsidRPr="00686EE3" w:rsidRDefault="003414BC" w:rsidP="0055344F">
                  <w:pPr>
                    <w:jc w:val="center"/>
                    <w:rPr>
                      <w:rFonts w:ascii="Calibri" w:hAnsi="Calibri"/>
                      <w:bCs/>
                    </w:rPr>
                  </w:pPr>
                  <w:r w:rsidRPr="00686EE3">
                    <w:rPr>
                      <w:rFonts w:ascii="Calibri" w:hAnsi="Calibri"/>
                      <w:bCs/>
                    </w:rPr>
                    <w:t>Employee’s Loan Program</w:t>
                  </w:r>
                </w:p>
              </w:tc>
            </w:tr>
            <w:tr w:rsidR="003414BC" w:rsidRPr="00686EE3" w14:paraId="11CB3D69" w14:textId="77777777" w:rsidTr="0055344F">
              <w:tc>
                <w:tcPr>
                  <w:tcW w:w="990" w:type="dxa"/>
                </w:tcPr>
                <w:p w14:paraId="7574FA19" w14:textId="77777777" w:rsidR="003414BC" w:rsidRPr="00686EE3" w:rsidRDefault="003414BC" w:rsidP="0055344F">
                  <w:pPr>
                    <w:jc w:val="center"/>
                    <w:rPr>
                      <w:rFonts w:ascii="Calibri" w:hAnsi="Calibri"/>
                    </w:rPr>
                  </w:pPr>
                  <w:r w:rsidRPr="00686EE3">
                    <w:rPr>
                      <w:rFonts w:ascii="Calibri" w:hAnsi="Calibri"/>
                    </w:rPr>
                    <w:t>1</w:t>
                  </w:r>
                </w:p>
              </w:tc>
              <w:tc>
                <w:tcPr>
                  <w:tcW w:w="1350" w:type="dxa"/>
                </w:tcPr>
                <w:p w14:paraId="23AB8BF7" w14:textId="77777777" w:rsidR="003414BC" w:rsidRPr="00686EE3" w:rsidRDefault="003414BC" w:rsidP="0055344F">
                  <w:pPr>
                    <w:jc w:val="center"/>
                    <w:rPr>
                      <w:rFonts w:ascii="Calibri" w:hAnsi="Calibri"/>
                    </w:rPr>
                  </w:pPr>
                  <w:r w:rsidRPr="00686EE3">
                    <w:rPr>
                      <w:rFonts w:ascii="Calibri" w:hAnsi="Calibri"/>
                    </w:rPr>
                    <w:t>First Warning</w:t>
                  </w:r>
                </w:p>
              </w:tc>
              <w:tc>
                <w:tcPr>
                  <w:tcW w:w="1350" w:type="dxa"/>
                </w:tcPr>
                <w:p w14:paraId="07255861" w14:textId="77777777" w:rsidR="003414BC" w:rsidRPr="00686EE3" w:rsidRDefault="003414BC" w:rsidP="0055344F">
                  <w:pPr>
                    <w:jc w:val="center"/>
                    <w:rPr>
                      <w:rFonts w:ascii="Calibri" w:hAnsi="Calibri"/>
                    </w:rPr>
                  </w:pPr>
                  <w:r w:rsidRPr="00686EE3">
                    <w:rPr>
                      <w:rFonts w:ascii="Calibri" w:hAnsi="Calibri"/>
                    </w:rPr>
                    <w:t>If issued June 09</w:t>
                  </w:r>
                </w:p>
              </w:tc>
              <w:tc>
                <w:tcPr>
                  <w:tcW w:w="2340" w:type="dxa"/>
                </w:tcPr>
                <w:p w14:paraId="3EBC25F4" w14:textId="77777777" w:rsidR="003414BC" w:rsidRPr="00686EE3" w:rsidRDefault="003414BC" w:rsidP="0055344F">
                  <w:pPr>
                    <w:jc w:val="center"/>
                    <w:rPr>
                      <w:rFonts w:ascii="Calibri" w:hAnsi="Calibri"/>
                    </w:rPr>
                  </w:pPr>
                  <w:r w:rsidRPr="00686EE3">
                    <w:rPr>
                      <w:rFonts w:ascii="Calibri" w:hAnsi="Calibri"/>
                    </w:rPr>
                    <w:t>Not entitled</w:t>
                  </w:r>
                </w:p>
                <w:p w14:paraId="5308DBA1" w14:textId="77777777" w:rsidR="003414BC" w:rsidRPr="00686EE3" w:rsidRDefault="003414BC" w:rsidP="0055344F">
                  <w:pPr>
                    <w:jc w:val="center"/>
                    <w:rPr>
                      <w:rFonts w:ascii="Calibri" w:hAnsi="Calibri"/>
                    </w:rPr>
                  </w:pPr>
                  <w:r w:rsidRPr="00686EE3">
                    <w:rPr>
                      <w:rFonts w:ascii="Calibri" w:hAnsi="Calibri"/>
                    </w:rPr>
                    <w:t>June to Nov 09</w:t>
                  </w:r>
                </w:p>
              </w:tc>
              <w:tc>
                <w:tcPr>
                  <w:tcW w:w="1890" w:type="dxa"/>
                </w:tcPr>
                <w:p w14:paraId="15DE8F1A" w14:textId="77777777" w:rsidR="003414BC" w:rsidRPr="00686EE3" w:rsidRDefault="003414BC" w:rsidP="0055344F">
                  <w:pPr>
                    <w:jc w:val="center"/>
                    <w:rPr>
                      <w:rFonts w:ascii="Calibri" w:hAnsi="Calibri"/>
                    </w:rPr>
                  </w:pPr>
                  <w:r w:rsidRPr="00686EE3">
                    <w:rPr>
                      <w:rFonts w:ascii="Calibri" w:hAnsi="Calibri"/>
                    </w:rPr>
                    <w:t>Not entitled</w:t>
                  </w:r>
                </w:p>
                <w:p w14:paraId="1624833B" w14:textId="77777777" w:rsidR="003414BC" w:rsidRPr="00686EE3" w:rsidRDefault="003414BC" w:rsidP="0055344F">
                  <w:pPr>
                    <w:jc w:val="center"/>
                    <w:rPr>
                      <w:rFonts w:ascii="Calibri" w:hAnsi="Calibri"/>
                    </w:rPr>
                  </w:pPr>
                  <w:r w:rsidRPr="00686EE3">
                    <w:rPr>
                      <w:rFonts w:ascii="Calibri" w:hAnsi="Calibri"/>
                    </w:rPr>
                    <w:t>June to Nov 09</w:t>
                  </w:r>
                </w:p>
              </w:tc>
            </w:tr>
            <w:tr w:rsidR="003414BC" w:rsidRPr="00686EE3" w14:paraId="6675410F" w14:textId="77777777" w:rsidTr="0055344F">
              <w:tc>
                <w:tcPr>
                  <w:tcW w:w="990" w:type="dxa"/>
                </w:tcPr>
                <w:p w14:paraId="3CFFA9DB" w14:textId="77777777" w:rsidR="003414BC" w:rsidRPr="00686EE3" w:rsidRDefault="003414BC" w:rsidP="0055344F">
                  <w:pPr>
                    <w:jc w:val="center"/>
                    <w:rPr>
                      <w:rFonts w:ascii="Calibri" w:hAnsi="Calibri"/>
                    </w:rPr>
                  </w:pPr>
                  <w:r w:rsidRPr="00686EE3">
                    <w:rPr>
                      <w:rFonts w:ascii="Calibri" w:hAnsi="Calibri"/>
                    </w:rPr>
                    <w:t>2.A</w:t>
                  </w:r>
                </w:p>
              </w:tc>
              <w:tc>
                <w:tcPr>
                  <w:tcW w:w="1350" w:type="dxa"/>
                </w:tcPr>
                <w:p w14:paraId="3723FFB1" w14:textId="77777777" w:rsidR="003414BC" w:rsidRPr="00686EE3" w:rsidRDefault="003414BC" w:rsidP="0055344F">
                  <w:pPr>
                    <w:jc w:val="center"/>
                    <w:rPr>
                      <w:rFonts w:ascii="Calibri" w:hAnsi="Calibri"/>
                    </w:rPr>
                  </w:pPr>
                  <w:r w:rsidRPr="00686EE3">
                    <w:rPr>
                      <w:rFonts w:ascii="Calibri" w:hAnsi="Calibri"/>
                    </w:rPr>
                    <w:t>Second Warning</w:t>
                  </w:r>
                </w:p>
              </w:tc>
              <w:tc>
                <w:tcPr>
                  <w:tcW w:w="1350" w:type="dxa"/>
                </w:tcPr>
                <w:p w14:paraId="7B14E790" w14:textId="77777777" w:rsidR="003414BC" w:rsidRPr="00686EE3" w:rsidRDefault="003414BC" w:rsidP="0055344F">
                  <w:pPr>
                    <w:jc w:val="center"/>
                    <w:rPr>
                      <w:rFonts w:ascii="Calibri" w:hAnsi="Calibri"/>
                    </w:rPr>
                  </w:pPr>
                  <w:r w:rsidRPr="00686EE3">
                    <w:rPr>
                      <w:rFonts w:ascii="Calibri" w:hAnsi="Calibri"/>
                    </w:rPr>
                    <w:t>If issued Aug 09</w:t>
                  </w:r>
                </w:p>
              </w:tc>
              <w:tc>
                <w:tcPr>
                  <w:tcW w:w="2340" w:type="dxa"/>
                </w:tcPr>
                <w:p w14:paraId="6C047D57" w14:textId="77777777" w:rsidR="003414BC" w:rsidRPr="00686EE3" w:rsidRDefault="003414BC" w:rsidP="0055344F">
                  <w:pPr>
                    <w:jc w:val="center"/>
                    <w:rPr>
                      <w:rFonts w:ascii="Calibri" w:hAnsi="Calibri"/>
                    </w:rPr>
                  </w:pPr>
                  <w:r w:rsidRPr="00686EE3">
                    <w:rPr>
                      <w:rFonts w:ascii="Calibri" w:hAnsi="Calibri"/>
                    </w:rPr>
                    <w:t>Not entitled</w:t>
                  </w:r>
                </w:p>
                <w:p w14:paraId="03496088" w14:textId="77777777" w:rsidR="003414BC" w:rsidRPr="00686EE3" w:rsidRDefault="003414BC" w:rsidP="0055344F">
                  <w:pPr>
                    <w:jc w:val="center"/>
                    <w:rPr>
                      <w:rFonts w:ascii="Calibri" w:hAnsi="Calibri"/>
                    </w:rPr>
                  </w:pPr>
                  <w:r w:rsidRPr="00686EE3">
                    <w:rPr>
                      <w:rFonts w:ascii="Calibri" w:hAnsi="Calibri"/>
                    </w:rPr>
                    <w:t>June to Nov 09</w:t>
                  </w:r>
                </w:p>
              </w:tc>
              <w:tc>
                <w:tcPr>
                  <w:tcW w:w="1890" w:type="dxa"/>
                </w:tcPr>
                <w:p w14:paraId="3108E081" w14:textId="77777777" w:rsidR="003414BC" w:rsidRPr="00686EE3" w:rsidRDefault="003414BC" w:rsidP="0055344F">
                  <w:pPr>
                    <w:jc w:val="center"/>
                    <w:rPr>
                      <w:rFonts w:ascii="Calibri" w:hAnsi="Calibri"/>
                    </w:rPr>
                  </w:pPr>
                  <w:r w:rsidRPr="00686EE3">
                    <w:rPr>
                      <w:rFonts w:ascii="Calibri" w:hAnsi="Calibri"/>
                    </w:rPr>
                    <w:t>Not entitled</w:t>
                  </w:r>
                </w:p>
                <w:p w14:paraId="3C9976F4" w14:textId="77777777" w:rsidR="003414BC" w:rsidRPr="00686EE3" w:rsidRDefault="003414BC" w:rsidP="0055344F">
                  <w:pPr>
                    <w:jc w:val="center"/>
                    <w:rPr>
                      <w:rFonts w:ascii="Calibri" w:hAnsi="Calibri"/>
                    </w:rPr>
                  </w:pPr>
                  <w:r w:rsidRPr="00686EE3">
                    <w:rPr>
                      <w:rFonts w:ascii="Calibri" w:hAnsi="Calibri"/>
                    </w:rPr>
                    <w:t>June to Nov 09</w:t>
                  </w:r>
                </w:p>
              </w:tc>
            </w:tr>
            <w:tr w:rsidR="003414BC" w:rsidRPr="00686EE3" w14:paraId="33F75146" w14:textId="77777777" w:rsidTr="0055344F">
              <w:tc>
                <w:tcPr>
                  <w:tcW w:w="7920" w:type="dxa"/>
                  <w:gridSpan w:val="5"/>
                </w:tcPr>
                <w:p w14:paraId="3B4DD529" w14:textId="77777777" w:rsidR="003414BC" w:rsidRPr="00686EE3" w:rsidRDefault="003414BC" w:rsidP="0055344F">
                  <w:pPr>
                    <w:jc w:val="center"/>
                    <w:rPr>
                      <w:rFonts w:ascii="Calibri" w:hAnsi="Calibri"/>
                      <w:bCs/>
                    </w:rPr>
                  </w:pPr>
                  <w:r w:rsidRPr="00686EE3">
                    <w:rPr>
                      <w:rFonts w:ascii="Calibri" w:hAnsi="Calibri"/>
                      <w:bCs/>
                    </w:rPr>
                    <w:t>OR</w:t>
                  </w:r>
                </w:p>
              </w:tc>
            </w:tr>
            <w:tr w:rsidR="003414BC" w:rsidRPr="00686EE3" w14:paraId="03B75AC2" w14:textId="77777777" w:rsidTr="0055344F">
              <w:tc>
                <w:tcPr>
                  <w:tcW w:w="990" w:type="dxa"/>
                </w:tcPr>
                <w:p w14:paraId="31F5B9EE" w14:textId="77777777" w:rsidR="003414BC" w:rsidRPr="00686EE3" w:rsidRDefault="003414BC" w:rsidP="0055344F">
                  <w:pPr>
                    <w:jc w:val="center"/>
                    <w:rPr>
                      <w:rFonts w:ascii="Calibri" w:hAnsi="Calibri"/>
                    </w:rPr>
                  </w:pPr>
                  <w:r w:rsidRPr="00686EE3">
                    <w:rPr>
                      <w:rFonts w:ascii="Calibri" w:hAnsi="Calibri"/>
                    </w:rPr>
                    <w:t>2.B</w:t>
                  </w:r>
                </w:p>
              </w:tc>
              <w:tc>
                <w:tcPr>
                  <w:tcW w:w="1350" w:type="dxa"/>
                </w:tcPr>
                <w:p w14:paraId="3AEAAE96" w14:textId="77777777" w:rsidR="003414BC" w:rsidRPr="00686EE3" w:rsidRDefault="003414BC" w:rsidP="0055344F">
                  <w:pPr>
                    <w:jc w:val="center"/>
                    <w:rPr>
                      <w:rFonts w:ascii="Calibri" w:hAnsi="Calibri"/>
                    </w:rPr>
                  </w:pPr>
                  <w:r w:rsidRPr="00686EE3">
                    <w:rPr>
                      <w:rFonts w:ascii="Calibri" w:hAnsi="Calibri"/>
                    </w:rPr>
                    <w:t>Second Warning</w:t>
                  </w:r>
                </w:p>
              </w:tc>
              <w:tc>
                <w:tcPr>
                  <w:tcW w:w="1350" w:type="dxa"/>
                </w:tcPr>
                <w:p w14:paraId="58388323" w14:textId="77777777" w:rsidR="003414BC" w:rsidRPr="00686EE3" w:rsidRDefault="003414BC" w:rsidP="0055344F">
                  <w:pPr>
                    <w:jc w:val="center"/>
                    <w:rPr>
                      <w:rFonts w:ascii="Calibri" w:hAnsi="Calibri"/>
                    </w:rPr>
                  </w:pPr>
                  <w:r w:rsidRPr="00686EE3">
                    <w:rPr>
                      <w:rFonts w:ascii="Calibri" w:hAnsi="Calibri"/>
                    </w:rPr>
                    <w:t>If issued Jan 10</w:t>
                  </w:r>
                </w:p>
              </w:tc>
              <w:tc>
                <w:tcPr>
                  <w:tcW w:w="2340" w:type="dxa"/>
                </w:tcPr>
                <w:p w14:paraId="0B0BBCF8" w14:textId="77777777" w:rsidR="003414BC" w:rsidRPr="00686EE3" w:rsidRDefault="003414BC" w:rsidP="0055344F">
                  <w:pPr>
                    <w:jc w:val="center"/>
                    <w:rPr>
                      <w:rFonts w:ascii="Calibri" w:hAnsi="Calibri"/>
                    </w:rPr>
                  </w:pPr>
                  <w:r w:rsidRPr="00686EE3">
                    <w:rPr>
                      <w:rFonts w:ascii="Calibri" w:hAnsi="Calibri"/>
                    </w:rPr>
                    <w:t>Not entitled</w:t>
                  </w:r>
                </w:p>
                <w:p w14:paraId="5C5D351B" w14:textId="77777777" w:rsidR="003414BC" w:rsidRPr="00686EE3" w:rsidRDefault="003414BC" w:rsidP="0055344F">
                  <w:pPr>
                    <w:jc w:val="center"/>
                    <w:rPr>
                      <w:rFonts w:ascii="Calibri" w:hAnsi="Calibri"/>
                    </w:rPr>
                  </w:pPr>
                  <w:r w:rsidRPr="00686EE3">
                    <w:rPr>
                      <w:rFonts w:ascii="Calibri" w:hAnsi="Calibri"/>
                    </w:rPr>
                    <w:t>Dec 09 – May 10</w:t>
                  </w:r>
                </w:p>
              </w:tc>
              <w:tc>
                <w:tcPr>
                  <w:tcW w:w="1890" w:type="dxa"/>
                </w:tcPr>
                <w:p w14:paraId="7ECB43CB" w14:textId="77777777" w:rsidR="003414BC" w:rsidRPr="00686EE3" w:rsidRDefault="003414BC" w:rsidP="0055344F">
                  <w:pPr>
                    <w:jc w:val="center"/>
                    <w:rPr>
                      <w:rFonts w:ascii="Calibri" w:hAnsi="Calibri"/>
                    </w:rPr>
                  </w:pPr>
                  <w:r w:rsidRPr="00686EE3">
                    <w:rPr>
                      <w:rFonts w:ascii="Calibri" w:hAnsi="Calibri"/>
                    </w:rPr>
                    <w:t>Not entitled</w:t>
                  </w:r>
                </w:p>
                <w:p w14:paraId="56F4ADAB" w14:textId="77777777" w:rsidR="003414BC" w:rsidRPr="00686EE3" w:rsidRDefault="003414BC" w:rsidP="0055344F">
                  <w:pPr>
                    <w:jc w:val="center"/>
                    <w:rPr>
                      <w:rFonts w:ascii="Calibri" w:hAnsi="Calibri"/>
                    </w:rPr>
                  </w:pPr>
                  <w:r w:rsidRPr="00686EE3">
                    <w:rPr>
                      <w:rFonts w:ascii="Calibri" w:hAnsi="Calibri"/>
                    </w:rPr>
                    <w:t>Jan 09 – Jan 10</w:t>
                  </w:r>
                </w:p>
              </w:tc>
            </w:tr>
          </w:tbl>
          <w:p w14:paraId="2C216B97" w14:textId="77777777" w:rsidR="003414BC" w:rsidRPr="00686EE3" w:rsidRDefault="003414BC" w:rsidP="0055344F">
            <w:pPr>
              <w:ind w:left="612"/>
              <w:jc w:val="both"/>
              <w:rPr>
                <w:rFonts w:ascii="Calibri" w:hAnsi="Calibri" w:cs="Arial"/>
              </w:rPr>
            </w:pPr>
          </w:p>
          <w:p w14:paraId="192952A7" w14:textId="77777777" w:rsidR="003414BC" w:rsidRPr="00686EE3" w:rsidRDefault="003414BC" w:rsidP="003414BC">
            <w:pPr>
              <w:numPr>
                <w:ilvl w:val="0"/>
                <w:numId w:val="5"/>
              </w:numPr>
              <w:jc w:val="both"/>
              <w:rPr>
                <w:rFonts w:ascii="Calibri" w:hAnsi="Calibri" w:cs="Arial"/>
                <w:bCs/>
              </w:rPr>
            </w:pPr>
            <w:r w:rsidRPr="00686EE3">
              <w:rPr>
                <w:rFonts w:ascii="Calibri" w:hAnsi="Calibri" w:cs="Arial"/>
                <w:bCs/>
              </w:rPr>
              <w:t xml:space="preserve">Final  Warning Letter: </w:t>
            </w:r>
          </w:p>
          <w:p w14:paraId="61549F7E" w14:textId="77777777" w:rsidR="003414BC" w:rsidRPr="00686EE3" w:rsidRDefault="003414BC" w:rsidP="0055344F">
            <w:pPr>
              <w:ind w:left="360"/>
              <w:jc w:val="both"/>
              <w:rPr>
                <w:rFonts w:ascii="Calibri" w:hAnsi="Calibri" w:cs="Arial"/>
              </w:rPr>
            </w:pPr>
          </w:p>
          <w:p w14:paraId="067781EA"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When the deficiency warrants more than a second   warning letter within six months timeframe of second warning letter, or if further evidence of the deficiency continues, a written communications must be sent to HR by direct manager in order to issue final warning letter from HR end to Employee. A copy of the warning, signed either by the employee or two witnesses, is kept in the manager’s file (warning letters’ file) and a copy to the employee’s personal file. </w:t>
            </w:r>
          </w:p>
          <w:p w14:paraId="31BF9905"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The final warning letter may be the result of progressive discipline or, if the case is sufficiently serious, may be used to bring to the attention of the employee the severity of his situation and the implications of his failure to rectify the deficiency.</w:t>
            </w:r>
          </w:p>
          <w:p w14:paraId="1E5E1256"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A copy of the final warning letter, signed either by the employee or the two witnesses, is kept in the manager’s warning letters’ file and a copy to the employee’s personal file. </w:t>
            </w:r>
          </w:p>
          <w:p w14:paraId="19F22597"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The final warning letter will deprive the employee from the current six-month-incentive, and disqualify him from employees’ loan program from the date of the final warning letter. </w:t>
            </w:r>
          </w:p>
          <w:p w14:paraId="7998DC1B" w14:textId="77777777" w:rsidR="003414BC" w:rsidRDefault="003414BC" w:rsidP="003414BC">
            <w:pPr>
              <w:numPr>
                <w:ilvl w:val="0"/>
                <w:numId w:val="21"/>
              </w:numPr>
              <w:jc w:val="both"/>
              <w:rPr>
                <w:rFonts w:ascii="Calibri" w:hAnsi="Calibri" w:cs="Arial"/>
              </w:rPr>
            </w:pPr>
            <w:r w:rsidRPr="00686EE3">
              <w:rPr>
                <w:rFonts w:ascii="Calibri" w:hAnsi="Calibri" w:cs="Arial"/>
              </w:rPr>
              <w:t>The final warning will expire after 6 months subject to the attainment and maintenance of acceptable standards, and then it must</w:t>
            </w:r>
            <w:r w:rsidRPr="00686EE3">
              <w:rPr>
                <w:rFonts w:ascii="Calibri" w:hAnsi="Calibri" w:cs="Arial"/>
                <w:bCs/>
              </w:rPr>
              <w:t xml:space="preserve"> </w:t>
            </w:r>
            <w:r w:rsidRPr="00686EE3">
              <w:rPr>
                <w:rFonts w:ascii="Calibri" w:hAnsi="Calibri" w:cs="Arial"/>
              </w:rPr>
              <w:t>be marked/stamped “INACTIVE”.</w:t>
            </w:r>
          </w:p>
          <w:p w14:paraId="7840F83C" w14:textId="77777777" w:rsidR="003414BC" w:rsidRDefault="003414BC" w:rsidP="003414BC">
            <w:pPr>
              <w:numPr>
                <w:ilvl w:val="0"/>
                <w:numId w:val="21"/>
              </w:numPr>
              <w:jc w:val="both"/>
              <w:rPr>
                <w:rFonts w:ascii="Calibri" w:hAnsi="Calibri" w:cs="Arial"/>
              </w:rPr>
            </w:pPr>
            <w:r>
              <w:rPr>
                <w:rFonts w:ascii="Calibri" w:hAnsi="Calibri" w:cs="Arial"/>
              </w:rPr>
              <w:t>The employee’s annual merit increase will be deprived.</w:t>
            </w:r>
          </w:p>
          <w:p w14:paraId="6F7FFC85" w14:textId="77777777" w:rsidR="003414BC" w:rsidRPr="00686EE3" w:rsidRDefault="003414BC" w:rsidP="0055344F">
            <w:pPr>
              <w:ind w:left="360"/>
              <w:jc w:val="both"/>
              <w:rPr>
                <w:rFonts w:ascii="Calibri" w:hAnsi="Calibri" w:cs="Arial"/>
              </w:rPr>
            </w:pPr>
          </w:p>
          <w:p w14:paraId="1C077BB8" w14:textId="77777777" w:rsidR="003414BC" w:rsidRPr="00686EE3" w:rsidRDefault="003414BC" w:rsidP="003414BC">
            <w:pPr>
              <w:numPr>
                <w:ilvl w:val="0"/>
                <w:numId w:val="5"/>
              </w:numPr>
              <w:spacing w:before="120"/>
              <w:jc w:val="both"/>
              <w:rPr>
                <w:rFonts w:ascii="Calibri" w:hAnsi="Calibri" w:cs="Arial"/>
                <w:bCs/>
              </w:rPr>
            </w:pPr>
            <w:r w:rsidRPr="00686EE3">
              <w:rPr>
                <w:rFonts w:ascii="Calibri" w:hAnsi="Calibri" w:cs="Arial"/>
                <w:bCs/>
              </w:rPr>
              <w:t xml:space="preserve">Dismissal: </w:t>
            </w:r>
          </w:p>
          <w:p w14:paraId="66220FFE" w14:textId="77777777" w:rsidR="003414BC" w:rsidRPr="00686EE3" w:rsidRDefault="003414BC" w:rsidP="0055344F">
            <w:pPr>
              <w:ind w:left="360"/>
              <w:jc w:val="both"/>
              <w:rPr>
                <w:rFonts w:ascii="Calibri" w:hAnsi="Calibri" w:cs="Arial"/>
              </w:rPr>
            </w:pPr>
          </w:p>
          <w:p w14:paraId="43CC6E6C" w14:textId="77777777" w:rsidR="003414BC" w:rsidRPr="00686EE3" w:rsidRDefault="003414BC" w:rsidP="003414BC">
            <w:pPr>
              <w:numPr>
                <w:ilvl w:val="0"/>
                <w:numId w:val="22"/>
              </w:numPr>
              <w:jc w:val="both"/>
              <w:rPr>
                <w:rFonts w:ascii="Calibri" w:hAnsi="Calibri" w:cs="Arial"/>
              </w:rPr>
            </w:pPr>
            <w:r w:rsidRPr="00686EE3">
              <w:rPr>
                <w:rFonts w:ascii="Calibri" w:hAnsi="Calibri" w:cs="Arial"/>
              </w:rPr>
              <w:t>Dismissal is considered the fourth and the final stage of the warning procedure. Dismissal normally occurs after other formal progressive procedure stages have been exhausted.</w:t>
            </w:r>
          </w:p>
          <w:p w14:paraId="14B4F556" w14:textId="77777777" w:rsidR="003414BC" w:rsidRPr="00686EE3" w:rsidRDefault="003414BC" w:rsidP="003414BC">
            <w:pPr>
              <w:numPr>
                <w:ilvl w:val="0"/>
                <w:numId w:val="22"/>
              </w:numPr>
              <w:jc w:val="both"/>
              <w:rPr>
                <w:rFonts w:ascii="Calibri" w:hAnsi="Calibri" w:cs="Arial"/>
              </w:rPr>
            </w:pPr>
            <w:r w:rsidRPr="00686EE3">
              <w:rPr>
                <w:rFonts w:ascii="Calibri" w:hAnsi="Calibri" w:cs="Arial"/>
              </w:rPr>
              <w:lastRenderedPageBreak/>
              <w:t xml:space="preserve">If the employee commits an act of Gross Misconduct, it may be sufficiently serious to warrant dismissal without warning, and with or without benefits. </w:t>
            </w:r>
          </w:p>
          <w:p w14:paraId="7D349E62" w14:textId="77777777" w:rsidR="003414BC" w:rsidRPr="00686EE3" w:rsidRDefault="003414BC" w:rsidP="0055344F">
            <w:pPr>
              <w:ind w:left="612"/>
              <w:jc w:val="both"/>
              <w:rPr>
                <w:rFonts w:ascii="Calibri" w:hAnsi="Calibri" w:cs="Arial"/>
              </w:rPr>
            </w:pPr>
          </w:p>
          <w:p w14:paraId="66AD1401" w14:textId="77777777" w:rsidR="003414BC" w:rsidRPr="00686EE3" w:rsidRDefault="003414BC" w:rsidP="0055344F">
            <w:pPr>
              <w:jc w:val="both"/>
              <w:rPr>
                <w:rFonts w:ascii="Calibri" w:hAnsi="Calibri" w:cs="Arial"/>
              </w:rPr>
            </w:pPr>
            <w:r w:rsidRPr="00686EE3">
              <w:rPr>
                <w:rFonts w:ascii="Calibri" w:hAnsi="Calibri" w:cs="Arial"/>
                <w:bCs/>
              </w:rPr>
              <w:t>Gross Misconduct</w:t>
            </w:r>
            <w:r w:rsidRPr="00686EE3">
              <w:rPr>
                <w:rFonts w:ascii="Calibri" w:hAnsi="Calibri" w:cs="Arial"/>
              </w:rPr>
              <w:t>:</w:t>
            </w:r>
          </w:p>
          <w:p w14:paraId="18E554B0" w14:textId="77777777" w:rsidR="003414BC" w:rsidRPr="00686EE3" w:rsidRDefault="003414BC" w:rsidP="0055344F">
            <w:pPr>
              <w:ind w:firstLine="612"/>
              <w:jc w:val="both"/>
              <w:rPr>
                <w:rFonts w:ascii="Calibri" w:hAnsi="Calibri" w:cs="Arial"/>
                <w:i/>
                <w:iCs/>
              </w:rPr>
            </w:pPr>
          </w:p>
          <w:p w14:paraId="30EEB41D" w14:textId="77777777" w:rsidR="003414BC" w:rsidRPr="00686EE3" w:rsidRDefault="003414BC" w:rsidP="003414BC">
            <w:pPr>
              <w:numPr>
                <w:ilvl w:val="0"/>
                <w:numId w:val="4"/>
              </w:numPr>
              <w:tabs>
                <w:tab w:val="clear" w:pos="900"/>
                <w:tab w:val="num" w:pos="612"/>
              </w:tabs>
              <w:ind w:left="612"/>
              <w:jc w:val="both"/>
              <w:rPr>
                <w:rFonts w:ascii="Calibri" w:hAnsi="Calibri" w:cs="Arial"/>
              </w:rPr>
            </w:pPr>
            <w:r w:rsidRPr="00686EE3">
              <w:rPr>
                <w:rFonts w:ascii="Calibri" w:hAnsi="Calibri" w:cs="Arial"/>
              </w:rPr>
              <w:t>Some of the issues that can be a ground to issue a warning letter, include (but not limited to) the following:</w:t>
            </w:r>
          </w:p>
          <w:p w14:paraId="50807DA6" w14:textId="77777777" w:rsidR="003414BC" w:rsidRPr="00686EE3" w:rsidRDefault="003414BC" w:rsidP="0055344F">
            <w:pPr>
              <w:ind w:left="252"/>
              <w:jc w:val="both"/>
              <w:rPr>
                <w:rFonts w:ascii="Calibri" w:hAnsi="Calibri" w:cs="Arial"/>
              </w:rPr>
            </w:pPr>
          </w:p>
          <w:p w14:paraId="6C611D39"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Personal use of company’s property.</w:t>
            </w:r>
          </w:p>
          <w:p w14:paraId="64AAFE54"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Misuse of company’s money.</w:t>
            </w:r>
          </w:p>
          <w:p w14:paraId="0EEBC8A4"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Non adherence to confidentiality.</w:t>
            </w:r>
          </w:p>
          <w:p w14:paraId="067CF32E"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Violation of specific rules of a certain locations.</w:t>
            </w:r>
          </w:p>
          <w:p w14:paraId="0289D6A6"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 xml:space="preserve">Misuse of discount facility </w:t>
            </w:r>
          </w:p>
          <w:p w14:paraId="7CFC54D9" w14:textId="77777777" w:rsidR="003414BC" w:rsidRPr="00686EE3" w:rsidRDefault="003414BC" w:rsidP="0055344F">
            <w:pPr>
              <w:ind w:left="612"/>
              <w:jc w:val="both"/>
              <w:rPr>
                <w:rFonts w:ascii="Calibri" w:hAnsi="Calibri" w:cs="Arial"/>
              </w:rPr>
            </w:pPr>
          </w:p>
          <w:p w14:paraId="77501206" w14:textId="77777777" w:rsidR="003414BC" w:rsidRPr="00686EE3" w:rsidRDefault="003414BC" w:rsidP="003414BC">
            <w:pPr>
              <w:numPr>
                <w:ilvl w:val="0"/>
                <w:numId w:val="4"/>
              </w:numPr>
              <w:tabs>
                <w:tab w:val="clear" w:pos="900"/>
                <w:tab w:val="num" w:pos="612"/>
              </w:tabs>
              <w:ind w:left="612"/>
              <w:jc w:val="both"/>
              <w:rPr>
                <w:rFonts w:ascii="Calibri" w:hAnsi="Calibri" w:cs="Arial"/>
              </w:rPr>
            </w:pPr>
            <w:r w:rsidRPr="00686EE3">
              <w:rPr>
                <w:rFonts w:ascii="Calibri" w:hAnsi="Calibri" w:cs="Arial"/>
              </w:rPr>
              <w:t>Some of the issues that can be a ground to issue a dismissal letter, without warning and with/without benefits, include (but not limited to) the following:</w:t>
            </w:r>
          </w:p>
          <w:p w14:paraId="55D0776D" w14:textId="77777777" w:rsidR="003414BC" w:rsidRPr="00686EE3" w:rsidRDefault="003414BC" w:rsidP="0055344F">
            <w:pPr>
              <w:ind w:left="252"/>
              <w:jc w:val="both"/>
              <w:rPr>
                <w:rFonts w:ascii="Calibri" w:hAnsi="Calibri" w:cs="Arial"/>
              </w:rPr>
            </w:pPr>
          </w:p>
          <w:p w14:paraId="39826531"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Willful damage of company’s properties.</w:t>
            </w:r>
          </w:p>
          <w:p w14:paraId="5A70E569"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Violation of security system to access any confidential information.</w:t>
            </w:r>
          </w:p>
          <w:p w14:paraId="381DDA77"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Openly communicate, or publish false information about the company.</w:t>
            </w:r>
          </w:p>
          <w:p w14:paraId="6C52E197"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Fighting while on duty at company’s properties.</w:t>
            </w:r>
          </w:p>
          <w:p w14:paraId="42A5604E"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Dishonesty, theft or fraud.</w:t>
            </w:r>
          </w:p>
          <w:p w14:paraId="5D6C7351"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Failure to obey reasonable instructions from manager.</w:t>
            </w:r>
          </w:p>
          <w:p w14:paraId="2490C23E"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Threatening, directing abusive language towards an employee or a customer.</w:t>
            </w:r>
          </w:p>
          <w:p w14:paraId="607899DD"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Deliberate falsification of applications or other company’s related documents, including electronic data.</w:t>
            </w:r>
          </w:p>
          <w:p w14:paraId="0DB3AF38" w14:textId="77777777" w:rsidR="003414BC" w:rsidRPr="00686EE3" w:rsidRDefault="003414BC" w:rsidP="0055344F">
            <w:pPr>
              <w:autoSpaceDE w:val="0"/>
              <w:jc w:val="both"/>
              <w:rPr>
                <w:rStyle w:val="Strong"/>
                <w:rFonts w:ascii="Calibri" w:hAnsi="Calibri" w:cs="Tahoma"/>
                <w:b w:val="0"/>
                <w:bCs w:val="0"/>
              </w:rPr>
            </w:pPr>
            <w:r w:rsidRPr="00686EE3">
              <w:rPr>
                <w:rFonts w:ascii="Calibri" w:hAnsi="Calibri" w:cs="Tahoma"/>
              </w:rPr>
              <w:t xml:space="preserve"> </w:t>
            </w:r>
          </w:p>
        </w:tc>
      </w:tr>
      <w:tr w:rsidR="003414BC" w:rsidRPr="002928E9" w14:paraId="09912EB8" w14:textId="77777777" w:rsidTr="0055344F">
        <w:tc>
          <w:tcPr>
            <w:tcW w:w="1980" w:type="dxa"/>
          </w:tcPr>
          <w:p w14:paraId="11052F41" w14:textId="77777777" w:rsidR="003414BC" w:rsidRPr="009815D3" w:rsidRDefault="003414BC" w:rsidP="0055344F">
            <w:pPr>
              <w:spacing w:before="120"/>
              <w:rPr>
                <w:rFonts w:ascii="Calibri" w:hAnsi="Calibri"/>
                <w:b/>
                <w:bCs/>
              </w:rPr>
            </w:pPr>
            <w:r>
              <w:rPr>
                <w:rFonts w:ascii="Calibri" w:hAnsi="Calibri"/>
                <w:b/>
                <w:bCs/>
              </w:rPr>
              <w:lastRenderedPageBreak/>
              <w:t>General</w:t>
            </w:r>
          </w:p>
        </w:tc>
        <w:tc>
          <w:tcPr>
            <w:tcW w:w="8640" w:type="dxa"/>
          </w:tcPr>
          <w:p w14:paraId="0EF2897D" w14:textId="77777777" w:rsidR="003414BC" w:rsidRPr="00F83331" w:rsidRDefault="003414BC" w:rsidP="0055344F">
            <w:pPr>
              <w:autoSpaceDE w:val="0"/>
              <w:spacing w:before="120" w:after="120"/>
              <w:jc w:val="both"/>
              <w:rPr>
                <w:rFonts w:ascii="Calibri" w:hAnsi="Calibri" w:cs="Tahoma"/>
              </w:rPr>
            </w:pPr>
            <w:r>
              <w:rPr>
                <w:rFonts w:ascii="Calibri" w:hAnsi="Calibri" w:cs="Tahoma"/>
              </w:rPr>
              <w:t>Any exception</w:t>
            </w:r>
            <w:r w:rsidRPr="00F83331">
              <w:rPr>
                <w:rFonts w:ascii="Calibri" w:hAnsi="Calibri" w:cs="Tahoma"/>
              </w:rPr>
              <w:t xml:space="preserve"> to th</w:t>
            </w:r>
            <w:r>
              <w:rPr>
                <w:rFonts w:ascii="Calibri" w:hAnsi="Calibri" w:cs="Tahoma"/>
              </w:rPr>
              <w:t xml:space="preserve">is </w:t>
            </w:r>
            <w:r w:rsidRPr="00F83331">
              <w:rPr>
                <w:rFonts w:ascii="Calibri" w:hAnsi="Calibri" w:cs="Tahoma"/>
              </w:rPr>
              <w:t>policy must be approved by the Managing Director</w:t>
            </w:r>
            <w:r>
              <w:rPr>
                <w:rFonts w:ascii="Calibri" w:hAnsi="Calibri" w:cs="Tahoma"/>
              </w:rPr>
              <w:t xml:space="preserve">. </w:t>
            </w:r>
          </w:p>
        </w:tc>
      </w:tr>
    </w:tbl>
    <w:p w14:paraId="21BA0610" w14:textId="77777777" w:rsidR="003414BC" w:rsidRPr="002928E9" w:rsidRDefault="003414BC" w:rsidP="003414BC"/>
    <w:p w14:paraId="6D4B5D58" w14:textId="77777777" w:rsidR="002C46CC" w:rsidRPr="004106E1" w:rsidRDefault="002C46CC" w:rsidP="004106E1"/>
    <w:sectPr w:rsidR="002C46CC" w:rsidRPr="004106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FF286" w14:textId="77777777" w:rsidR="00C57F4D" w:rsidRDefault="00C57F4D" w:rsidP="002C46CC">
      <w:r>
        <w:separator/>
      </w:r>
    </w:p>
  </w:endnote>
  <w:endnote w:type="continuationSeparator" w:id="0">
    <w:p w14:paraId="498C5944" w14:textId="77777777" w:rsidR="00C57F4D" w:rsidRDefault="00C57F4D"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C889E" w14:textId="77777777" w:rsidR="00F52366" w:rsidRDefault="00F52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6F0B4D42"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6209DF">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6209DF">
      <w:rPr>
        <w:rFonts w:cstheme="minorHAnsi"/>
        <w:b/>
        <w:bCs/>
        <w:noProof/>
      </w:rPr>
      <w:t>8</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6209DF">
      <w:rPr>
        <w:rFonts w:cstheme="minorHAnsi"/>
      </w:rPr>
      <w:t>7338</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2DD1" w14:textId="77777777" w:rsidR="00F52366" w:rsidRDefault="00F52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284B2" w14:textId="77777777" w:rsidR="00C57F4D" w:rsidRDefault="00C57F4D" w:rsidP="002C46CC">
      <w:r>
        <w:separator/>
      </w:r>
    </w:p>
  </w:footnote>
  <w:footnote w:type="continuationSeparator" w:id="0">
    <w:p w14:paraId="1005BB0E" w14:textId="77777777" w:rsidR="00C57F4D" w:rsidRDefault="00C57F4D"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DF94" w14:textId="77777777" w:rsidR="00F52366" w:rsidRDefault="00F52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2E28C5AA" w:rsidR="002C46CC" w:rsidRDefault="00F52366" w:rsidP="002C46CC">
    <w:pPr>
      <w:pStyle w:val="Header"/>
    </w:pPr>
    <w:bookmarkStart w:id="0" w:name="_GoBack"/>
    <w:r>
      <w:rPr>
        <w:rFonts w:cstheme="minorHAnsi"/>
        <w:b/>
        <w:bCs/>
        <w:noProof/>
        <w:sz w:val="20"/>
        <w:szCs w:val="20"/>
        <w:u w:val="single"/>
      </w:rPr>
      <w:drawing>
        <wp:anchor distT="0" distB="0" distL="114300" distR="114300" simplePos="0" relativeHeight="251663360" behindDoc="0" locked="0" layoutInCell="1" allowOverlap="1" wp14:anchorId="31FA23AC" wp14:editId="7AE5E05C">
          <wp:simplePos x="0" y="0"/>
          <wp:positionH relativeFrom="column">
            <wp:posOffset>-212376</wp:posOffset>
          </wp:positionH>
          <wp:positionV relativeFrom="paragraph">
            <wp:posOffset>131957</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bookmarkEnd w:id="0"/>
    <w:r w:rsidR="00356870">
      <w:rPr>
        <w:noProof/>
      </w:rPr>
      <mc:AlternateContent>
        <mc:Choice Requires="wps">
          <w:drawing>
            <wp:anchor distT="45720" distB="45720" distL="114300" distR="114300" simplePos="0" relativeHeight="251661312" behindDoc="1" locked="0" layoutInCell="1" allowOverlap="1" wp14:anchorId="74FE3194" wp14:editId="4B087C09">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3B6E43BC" w14:textId="77777777" w:rsidR="003414BC" w:rsidRDefault="003414BC" w:rsidP="003414BC">
                          <w:pPr>
                            <w:pStyle w:val="Header"/>
                            <w:jc w:val="right"/>
                            <w:rPr>
                              <w:rFonts w:ascii="Calibri" w:hAnsi="Calibri"/>
                              <w:b/>
                              <w:noProof/>
                            </w:rPr>
                          </w:pPr>
                          <w:r>
                            <w:rPr>
                              <w:rFonts w:ascii="Calibri" w:hAnsi="Calibri"/>
                              <w:b/>
                              <w:noProof/>
                              <w:sz w:val="32"/>
                            </w:rPr>
                            <w:t>Disciplinary Action Policy</w:t>
                          </w:r>
                        </w:p>
                        <w:p w14:paraId="25A3FDCC" w14:textId="6756D885" w:rsidR="002C46CC" w:rsidRDefault="00F52366" w:rsidP="003414BC">
                          <w:pPr>
                            <w:jc w:val="right"/>
                          </w:pPr>
                          <w:r>
                            <w:rPr>
                              <w:rFonts w:ascii="Calibri" w:hAnsi="Calibri" w:cs="Calibri"/>
                            </w:rPr>
                            <w:t xml:space="preserve">Owner/ Department: IBU-JOR, </w:t>
                          </w:r>
                          <w:r w:rsidR="003414BC">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" fillcolor="white [3212]" strokecolor="white [3212]">
              <v:textbox>
                <w:txbxContent>
                  <w:p w14:paraId="3B6E43BC" w14:textId="77777777" w:rsidR="003414BC" w:rsidRDefault="003414BC" w:rsidP="003414BC">
                    <w:pPr>
                      <w:pStyle w:val="Header"/>
                      <w:jc w:val="right"/>
                      <w:rPr>
                        <w:rFonts w:ascii="Calibri" w:hAnsi="Calibri"/>
                        <w:b/>
                        <w:noProof/>
                      </w:rPr>
                    </w:pPr>
                    <w:r>
                      <w:rPr>
                        <w:rFonts w:ascii="Calibri" w:hAnsi="Calibri"/>
                        <w:b/>
                        <w:noProof/>
                        <w:sz w:val="32"/>
                      </w:rPr>
                      <w:t>Disciplinary Action Policy</w:t>
                    </w:r>
                  </w:p>
                  <w:p w14:paraId="25A3FDCC" w14:textId="6756D885" w:rsidR="002C46CC" w:rsidRDefault="00F52366" w:rsidP="003414BC">
                    <w:pPr>
                      <w:jc w:val="right"/>
                    </w:pPr>
                    <w:r>
                      <w:rPr>
                        <w:rFonts w:ascii="Calibri" w:hAnsi="Calibri" w:cs="Calibri"/>
                      </w:rPr>
                      <w:t>Owner/ Department: IBU-</w:t>
                    </w:r>
                    <w:r>
                      <w:rPr>
                        <w:rFonts w:ascii="Calibri" w:hAnsi="Calibri" w:cs="Calibri"/>
                      </w:rPr>
                      <w:t>JOR</w:t>
                    </w:r>
                    <w:r>
                      <w:rPr>
                        <w:rFonts w:ascii="Calibri" w:hAnsi="Calibri" w:cs="Calibri"/>
                      </w:rPr>
                      <w:t>,</w:t>
                    </w:r>
                    <w:r>
                      <w:rPr>
                        <w:rFonts w:ascii="Calibri" w:hAnsi="Calibri" w:cs="Calibri"/>
                      </w:rPr>
                      <w:t xml:space="preserve"> </w:t>
                    </w:r>
                    <w:r w:rsidR="003414BC">
                      <w:rPr>
                        <w:rFonts w:ascii="Calibri" w:hAnsi="Calibri"/>
                        <w:noProof/>
                      </w:rPr>
                      <w:t>Human Resources</w:t>
                    </w:r>
                  </w:p>
                </w:txbxContent>
              </v:textbox>
            </v:shape>
          </w:pict>
        </mc:Fallback>
      </mc:AlternateContent>
    </w:r>
  </w:p>
  <w:p w14:paraId="0F5D514B" w14:textId="57137E38" w:rsidR="002C46CC" w:rsidRDefault="00815C6C" w:rsidP="00815C6C">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FEEE" w14:textId="77777777" w:rsidR="00F52366" w:rsidRDefault="00F52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DD7"/>
    <w:multiLevelType w:val="hybridMultilevel"/>
    <w:tmpl w:val="0DF2736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2B0B11"/>
    <w:multiLevelType w:val="hybridMultilevel"/>
    <w:tmpl w:val="ED0A4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E505E"/>
    <w:multiLevelType w:val="hybridMultilevel"/>
    <w:tmpl w:val="B56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732EF"/>
    <w:multiLevelType w:val="hybridMultilevel"/>
    <w:tmpl w:val="9872D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C2991"/>
    <w:multiLevelType w:val="hybridMultilevel"/>
    <w:tmpl w:val="9EE6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2829B9"/>
    <w:multiLevelType w:val="hybridMultilevel"/>
    <w:tmpl w:val="08EC8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893A52"/>
    <w:multiLevelType w:val="hybridMultilevel"/>
    <w:tmpl w:val="48F8E31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2E7862D4"/>
    <w:multiLevelType w:val="hybridMultilevel"/>
    <w:tmpl w:val="2148337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nsid w:val="2F633000"/>
    <w:multiLevelType w:val="hybridMultilevel"/>
    <w:tmpl w:val="51A20DD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nsid w:val="3F097280"/>
    <w:multiLevelType w:val="hybridMultilevel"/>
    <w:tmpl w:val="CE565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F64888"/>
    <w:multiLevelType w:val="hybridMultilevel"/>
    <w:tmpl w:val="971A5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EE2824"/>
    <w:multiLevelType w:val="hybridMultilevel"/>
    <w:tmpl w:val="A050C3C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nsid w:val="49CB3F08"/>
    <w:multiLevelType w:val="hybridMultilevel"/>
    <w:tmpl w:val="5058AEA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4">
    <w:nsid w:val="51185C5E"/>
    <w:multiLevelType w:val="hybridMultilevel"/>
    <w:tmpl w:val="D8E08C5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nsid w:val="53941BC6"/>
    <w:multiLevelType w:val="multilevel"/>
    <w:tmpl w:val="4948CE5C"/>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9ED0F6B"/>
    <w:multiLevelType w:val="hybridMultilevel"/>
    <w:tmpl w:val="2CC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7E65D1"/>
    <w:multiLevelType w:val="hybridMultilevel"/>
    <w:tmpl w:val="964ED208"/>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nsid w:val="63C706C7"/>
    <w:multiLevelType w:val="hybridMultilevel"/>
    <w:tmpl w:val="6BCE388A"/>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nsid w:val="706931CE"/>
    <w:multiLevelType w:val="hybridMultilevel"/>
    <w:tmpl w:val="D56AF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761033"/>
    <w:multiLevelType w:val="hybridMultilevel"/>
    <w:tmpl w:val="849E29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35469A"/>
    <w:multiLevelType w:val="multilevel"/>
    <w:tmpl w:val="86F4B8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0"/>
  </w:num>
  <w:num w:numId="3">
    <w:abstractNumId w:val="2"/>
  </w:num>
  <w:num w:numId="4">
    <w:abstractNumId w:val="7"/>
  </w:num>
  <w:num w:numId="5">
    <w:abstractNumId w:val="0"/>
  </w:num>
  <w:num w:numId="6">
    <w:abstractNumId w:val="6"/>
  </w:num>
  <w:num w:numId="7">
    <w:abstractNumId w:val="18"/>
  </w:num>
  <w:num w:numId="8">
    <w:abstractNumId w:val="17"/>
  </w:num>
  <w:num w:numId="9">
    <w:abstractNumId w:val="5"/>
  </w:num>
  <w:num w:numId="10">
    <w:abstractNumId w:val="1"/>
  </w:num>
  <w:num w:numId="11">
    <w:abstractNumId w:val="21"/>
  </w:num>
  <w:num w:numId="12">
    <w:abstractNumId w:val="10"/>
  </w:num>
  <w:num w:numId="13">
    <w:abstractNumId w:val="19"/>
  </w:num>
  <w:num w:numId="14">
    <w:abstractNumId w:val="4"/>
  </w:num>
  <w:num w:numId="15">
    <w:abstractNumId w:val="11"/>
  </w:num>
  <w:num w:numId="16">
    <w:abstractNumId w:val="15"/>
  </w:num>
  <w:num w:numId="17">
    <w:abstractNumId w:val="3"/>
  </w:num>
  <w:num w:numId="18">
    <w:abstractNumId w:val="8"/>
  </w:num>
  <w:num w:numId="19">
    <w:abstractNumId w:val="14"/>
  </w:num>
  <w:num w:numId="20">
    <w:abstractNumId w:val="1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15FEE"/>
    <w:rsid w:val="001E72AC"/>
    <w:rsid w:val="0028415F"/>
    <w:rsid w:val="00293D81"/>
    <w:rsid w:val="002C46CC"/>
    <w:rsid w:val="00306E4A"/>
    <w:rsid w:val="003414BC"/>
    <w:rsid w:val="00356870"/>
    <w:rsid w:val="003B2BDB"/>
    <w:rsid w:val="004106E1"/>
    <w:rsid w:val="004821A2"/>
    <w:rsid w:val="00482C27"/>
    <w:rsid w:val="005257D9"/>
    <w:rsid w:val="005D61F9"/>
    <w:rsid w:val="005F53F4"/>
    <w:rsid w:val="006209DF"/>
    <w:rsid w:val="006536C1"/>
    <w:rsid w:val="00663E20"/>
    <w:rsid w:val="006838F8"/>
    <w:rsid w:val="00697F59"/>
    <w:rsid w:val="00704958"/>
    <w:rsid w:val="00815C6C"/>
    <w:rsid w:val="008359E2"/>
    <w:rsid w:val="00894600"/>
    <w:rsid w:val="008B7664"/>
    <w:rsid w:val="00913A57"/>
    <w:rsid w:val="009E1C3F"/>
    <w:rsid w:val="00A40807"/>
    <w:rsid w:val="00A748E1"/>
    <w:rsid w:val="00A74C2C"/>
    <w:rsid w:val="00A86811"/>
    <w:rsid w:val="00B63455"/>
    <w:rsid w:val="00C57F4D"/>
    <w:rsid w:val="00E17A56"/>
    <w:rsid w:val="00E17BF2"/>
    <w:rsid w:val="00ED2F19"/>
    <w:rsid w:val="00F52366"/>
    <w:rsid w:val="00F81F9F"/>
    <w:rsid w:val="00FB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15C6C"/>
    <w:rPr>
      <w:rFonts w:cs="Times New Roman"/>
      <w:b/>
      <w:bCs/>
    </w:rPr>
  </w:style>
  <w:style w:type="paragraph" w:styleId="BodyTextIndent2">
    <w:name w:val="Body Text Indent 2"/>
    <w:basedOn w:val="Normal"/>
    <w:link w:val="BodyTextIndent2Char"/>
    <w:rsid w:val="003414BC"/>
    <w:pPr>
      <w:ind w:left="720"/>
      <w:jc w:val="both"/>
    </w:pPr>
    <w:rPr>
      <w:rFonts w:ascii="Verdana" w:hAnsi="Verdana" w:cs="Arial"/>
      <w:bCs/>
      <w:kern w:val="32"/>
      <w:sz w:val="20"/>
      <w:szCs w:val="32"/>
      <w:lang w:val="en-ZA"/>
    </w:rPr>
  </w:style>
  <w:style w:type="character" w:customStyle="1" w:styleId="BodyTextIndent2Char">
    <w:name w:val="Body Text Indent 2 Char"/>
    <w:basedOn w:val="DefaultParagraphFont"/>
    <w:link w:val="BodyTextIndent2"/>
    <w:rsid w:val="003414BC"/>
    <w:rPr>
      <w:rFonts w:ascii="Verdana" w:eastAsia="Times New Roman" w:hAnsi="Verdana" w:cs="Arial"/>
      <w:bCs/>
      <w:kern w:val="32"/>
      <w:sz w:val="20"/>
      <w:szCs w:val="32"/>
      <w:lang w:val="en-Z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15C6C"/>
    <w:rPr>
      <w:rFonts w:cs="Times New Roman"/>
      <w:b/>
      <w:bCs/>
    </w:rPr>
  </w:style>
  <w:style w:type="paragraph" w:styleId="BodyTextIndent2">
    <w:name w:val="Body Text Indent 2"/>
    <w:basedOn w:val="Normal"/>
    <w:link w:val="BodyTextIndent2Char"/>
    <w:rsid w:val="003414BC"/>
    <w:pPr>
      <w:ind w:left="720"/>
      <w:jc w:val="both"/>
    </w:pPr>
    <w:rPr>
      <w:rFonts w:ascii="Verdana" w:hAnsi="Verdana" w:cs="Arial"/>
      <w:bCs/>
      <w:kern w:val="32"/>
      <w:sz w:val="20"/>
      <w:szCs w:val="32"/>
      <w:lang w:val="en-ZA"/>
    </w:rPr>
  </w:style>
  <w:style w:type="character" w:customStyle="1" w:styleId="BodyTextIndent2Char">
    <w:name w:val="Body Text Indent 2 Char"/>
    <w:basedOn w:val="DefaultParagraphFont"/>
    <w:link w:val="BodyTextIndent2"/>
    <w:rsid w:val="003414BC"/>
    <w:rPr>
      <w:rFonts w:ascii="Verdana" w:eastAsia="Times New Roman" w:hAnsi="Verdana" w:cs="Arial"/>
      <w:bCs/>
      <w:kern w:val="32"/>
      <w:sz w:val="20"/>
      <w:szCs w:val="32"/>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2024-01-08T08:23:00Z</dcterms:created>
  <dcterms:modified xsi:type="dcterms:W3CDTF">2024-01-08T10:31:00Z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