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1A6126" w:rsidRPr="001A6126" w14:paraId="27CA5426" w14:textId="77777777" w:rsidTr="001E6D1E">
        <w:tc>
          <w:tcPr>
            <w:tcW w:w="1980" w:type="dxa"/>
          </w:tcPr>
          <w:p w14:paraId="1DD09486" w14:textId="77777777" w:rsidR="00C84408" w:rsidRPr="001A6126" w:rsidRDefault="00C84408">
            <w:pPr>
              <w:rPr>
                <w:rFonts w:ascii="Calibri" w:hAnsi="Calibri"/>
                <w:b/>
                <w:bCs/>
                <w:color w:val="000000" w:themeColor="text1"/>
              </w:rPr>
            </w:pPr>
            <w:r w:rsidRPr="001A6126">
              <w:rPr>
                <w:rFonts w:ascii="Calibri" w:hAnsi="Calibri"/>
                <w:b/>
                <w:bCs/>
                <w:color w:val="000000" w:themeColor="text1"/>
              </w:rPr>
              <w:t>Brief</w:t>
            </w:r>
          </w:p>
        </w:tc>
        <w:tc>
          <w:tcPr>
            <w:tcW w:w="8640" w:type="dxa"/>
          </w:tcPr>
          <w:p w14:paraId="65DE9A17" w14:textId="63DBFC47" w:rsidR="00C84408" w:rsidRPr="001A6126" w:rsidRDefault="002D23DD" w:rsidP="00350C91">
            <w:pPr>
              <w:tabs>
                <w:tab w:val="left" w:pos="1800"/>
              </w:tabs>
              <w:jc w:val="both"/>
              <w:rPr>
                <w:rFonts w:ascii="Calibri" w:hAnsi="Calibri"/>
                <w:color w:val="000000" w:themeColor="text1"/>
              </w:rPr>
            </w:pPr>
            <w:r w:rsidRPr="001A6126">
              <w:rPr>
                <w:rFonts w:ascii="Calibri" w:hAnsi="Calibri"/>
                <w:color w:val="000000" w:themeColor="text1"/>
              </w:rPr>
              <w:t xml:space="preserve">The Office of the Internal Audit </w:t>
            </w:r>
            <w:r w:rsidR="008C38FF" w:rsidRPr="001A6126">
              <w:rPr>
                <w:rFonts w:ascii="Calibri" w:hAnsi="Calibri"/>
                <w:color w:val="000000" w:themeColor="text1"/>
              </w:rPr>
              <w:t xml:space="preserve">Department </w:t>
            </w:r>
            <w:r w:rsidRPr="001A6126">
              <w:rPr>
                <w:rFonts w:ascii="Calibri" w:hAnsi="Calibri"/>
                <w:color w:val="000000" w:themeColor="text1"/>
              </w:rPr>
              <w:t>of</w:t>
            </w:r>
            <w:r w:rsidR="001A6126" w:rsidRPr="001A6126">
              <w:rPr>
                <w:rFonts w:ascii="Calibri" w:hAnsi="Calibri"/>
                <w:color w:val="000000" w:themeColor="text1"/>
              </w:rPr>
              <w:t xml:space="preserve"> </w:t>
            </w:r>
            <w:r w:rsidR="00350C91" w:rsidRPr="001A6126">
              <w:rPr>
                <w:rFonts w:ascii="Calibri" w:hAnsi="Calibri"/>
                <w:color w:val="000000" w:themeColor="text1"/>
              </w:rPr>
              <w:t>SMSA Holding</w:t>
            </w:r>
            <w:r w:rsidRPr="001A6126">
              <w:rPr>
                <w:rFonts w:ascii="Calibri" w:hAnsi="Calibri"/>
                <w:color w:val="000000" w:themeColor="text1"/>
              </w:rPr>
              <w:t xml:space="preserve"> will provide certain guidelines to all auditors and auditee</w:t>
            </w:r>
            <w:r w:rsidR="008C38FF" w:rsidRPr="001A6126">
              <w:rPr>
                <w:rFonts w:ascii="Calibri" w:hAnsi="Calibri"/>
                <w:color w:val="000000" w:themeColor="text1"/>
              </w:rPr>
              <w:t>s</w:t>
            </w:r>
            <w:r w:rsidRPr="001A6126">
              <w:rPr>
                <w:rFonts w:ascii="Calibri" w:hAnsi="Calibri"/>
                <w:color w:val="000000" w:themeColor="text1"/>
              </w:rPr>
              <w:t xml:space="preserve"> units to ensure timely, speedy, and objectively type of audit.</w:t>
            </w:r>
          </w:p>
        </w:tc>
      </w:tr>
      <w:tr w:rsidR="001A6126" w:rsidRPr="001A6126" w14:paraId="7F454DFC" w14:textId="77777777" w:rsidTr="001E6D1E">
        <w:tc>
          <w:tcPr>
            <w:tcW w:w="1980" w:type="dxa"/>
          </w:tcPr>
          <w:p w14:paraId="180B0FF2" w14:textId="77777777" w:rsidR="00FD210B" w:rsidRPr="001A6126" w:rsidRDefault="00FD210B">
            <w:pPr>
              <w:rPr>
                <w:rFonts w:ascii="Calibri" w:hAnsi="Calibri"/>
                <w:b/>
                <w:bCs/>
                <w:color w:val="000000" w:themeColor="text1"/>
              </w:rPr>
            </w:pPr>
            <w:r w:rsidRPr="001A6126">
              <w:rPr>
                <w:rFonts w:ascii="Calibri" w:hAnsi="Calibri"/>
                <w:b/>
                <w:bCs/>
                <w:color w:val="000000" w:themeColor="text1"/>
              </w:rPr>
              <w:t>Purpose</w:t>
            </w:r>
          </w:p>
        </w:tc>
        <w:tc>
          <w:tcPr>
            <w:tcW w:w="8640" w:type="dxa"/>
          </w:tcPr>
          <w:p w14:paraId="7B6F7E18" w14:textId="77777777" w:rsidR="00FD210B" w:rsidRPr="001A6126" w:rsidRDefault="002D23DD" w:rsidP="009803B5">
            <w:pPr>
              <w:jc w:val="both"/>
              <w:rPr>
                <w:rFonts w:ascii="Calibri" w:hAnsi="Calibri"/>
                <w:color w:val="000000" w:themeColor="text1"/>
              </w:rPr>
            </w:pPr>
            <w:r w:rsidRPr="001A6126">
              <w:rPr>
                <w:rFonts w:ascii="Calibri" w:hAnsi="Calibri"/>
                <w:color w:val="000000" w:themeColor="text1"/>
              </w:rPr>
              <w:t>To provide mutual understanding on IA requirements during the audit engagement in accordance with IA charter authorized by the Chairman</w:t>
            </w:r>
            <w:r w:rsidR="003469C6" w:rsidRPr="001A6126">
              <w:rPr>
                <w:rFonts w:ascii="Calibri" w:hAnsi="Calibri"/>
                <w:color w:val="000000" w:themeColor="text1"/>
              </w:rPr>
              <w:t>/CEO.</w:t>
            </w:r>
          </w:p>
        </w:tc>
      </w:tr>
      <w:tr w:rsidR="001A6126" w:rsidRPr="001A6126" w14:paraId="561EF225" w14:textId="77777777" w:rsidTr="001E6D1E">
        <w:tc>
          <w:tcPr>
            <w:tcW w:w="1980" w:type="dxa"/>
          </w:tcPr>
          <w:p w14:paraId="20CDB2B6" w14:textId="77777777" w:rsidR="007C3A20" w:rsidRPr="001A6126" w:rsidRDefault="00FD210B">
            <w:pPr>
              <w:rPr>
                <w:rFonts w:ascii="Calibri" w:hAnsi="Calibri"/>
                <w:b/>
                <w:bCs/>
                <w:color w:val="000000" w:themeColor="text1"/>
              </w:rPr>
            </w:pPr>
            <w:r w:rsidRPr="001A6126">
              <w:rPr>
                <w:rFonts w:ascii="Calibri" w:hAnsi="Calibri"/>
                <w:b/>
                <w:bCs/>
                <w:color w:val="000000" w:themeColor="text1"/>
              </w:rPr>
              <w:t>Scope</w:t>
            </w:r>
          </w:p>
        </w:tc>
        <w:tc>
          <w:tcPr>
            <w:tcW w:w="8640" w:type="dxa"/>
          </w:tcPr>
          <w:p w14:paraId="0E4DB4D4" w14:textId="4450D9E7" w:rsidR="007C3A20" w:rsidRPr="001A6126" w:rsidRDefault="009E2B52" w:rsidP="009803B5">
            <w:pPr>
              <w:jc w:val="both"/>
              <w:rPr>
                <w:rFonts w:ascii="Calibri" w:hAnsi="Calibri"/>
                <w:color w:val="000000" w:themeColor="text1"/>
              </w:rPr>
            </w:pPr>
            <w:r w:rsidRPr="001A6126">
              <w:rPr>
                <w:rFonts w:ascii="Calibri" w:hAnsi="Calibri"/>
                <w:color w:val="000000" w:themeColor="text1"/>
              </w:rPr>
              <w:t xml:space="preserve">SMSA Holding </w:t>
            </w:r>
            <w:r w:rsidR="002D23DD" w:rsidRPr="001A6126">
              <w:rPr>
                <w:rFonts w:ascii="Calibri" w:hAnsi="Calibri"/>
                <w:color w:val="000000" w:themeColor="text1"/>
              </w:rPr>
              <w:t xml:space="preserve">Offices </w:t>
            </w:r>
            <w:r w:rsidR="00C571AE" w:rsidRPr="001A6126">
              <w:rPr>
                <w:rFonts w:ascii="Calibri" w:hAnsi="Calibri"/>
                <w:color w:val="000000" w:themeColor="text1"/>
              </w:rPr>
              <w:t>Kingdom &amp; World-Wide</w:t>
            </w:r>
          </w:p>
        </w:tc>
      </w:tr>
      <w:tr w:rsidR="001A6126" w:rsidRPr="001A6126" w14:paraId="7E0A84CF" w14:textId="77777777" w:rsidTr="001E6D1E">
        <w:tc>
          <w:tcPr>
            <w:tcW w:w="1980" w:type="dxa"/>
          </w:tcPr>
          <w:p w14:paraId="7C3C5A11" w14:textId="77777777" w:rsidR="00FD210B" w:rsidRPr="001A6126" w:rsidRDefault="00FD210B">
            <w:pPr>
              <w:rPr>
                <w:rFonts w:ascii="Calibri" w:hAnsi="Calibri"/>
                <w:b/>
                <w:bCs/>
                <w:color w:val="000000" w:themeColor="text1"/>
              </w:rPr>
            </w:pPr>
            <w:r w:rsidRPr="001A6126">
              <w:rPr>
                <w:rFonts w:ascii="Calibri" w:hAnsi="Calibri"/>
                <w:b/>
                <w:bCs/>
                <w:color w:val="000000" w:themeColor="text1"/>
              </w:rPr>
              <w:t>Responsibilities</w:t>
            </w:r>
          </w:p>
        </w:tc>
        <w:tc>
          <w:tcPr>
            <w:tcW w:w="8640" w:type="dxa"/>
          </w:tcPr>
          <w:p w14:paraId="32583C35" w14:textId="77777777" w:rsidR="00FD210B" w:rsidRPr="001A6126" w:rsidRDefault="00FD210B" w:rsidP="009803B5">
            <w:pPr>
              <w:jc w:val="both"/>
              <w:rPr>
                <w:rFonts w:ascii="Calibri" w:hAnsi="Calibri"/>
                <w:color w:val="000000" w:themeColor="text1"/>
              </w:rPr>
            </w:pPr>
            <w:r w:rsidRPr="001A6126">
              <w:rPr>
                <w:rFonts w:ascii="Calibri" w:hAnsi="Calibri"/>
                <w:color w:val="000000" w:themeColor="text1"/>
              </w:rPr>
              <w:t>All internal auditors</w:t>
            </w:r>
          </w:p>
        </w:tc>
      </w:tr>
      <w:tr w:rsidR="001A6126" w:rsidRPr="001A6126" w14:paraId="0EF94CB9" w14:textId="77777777" w:rsidTr="001E6D1E">
        <w:tc>
          <w:tcPr>
            <w:tcW w:w="1980" w:type="dxa"/>
          </w:tcPr>
          <w:p w14:paraId="7495E4F1" w14:textId="77777777" w:rsidR="00B95D2A" w:rsidRPr="001A6126" w:rsidRDefault="00B95D2A" w:rsidP="00B46829">
            <w:pPr>
              <w:rPr>
                <w:rFonts w:ascii="Calibri" w:hAnsi="Calibri"/>
                <w:b/>
                <w:bCs/>
                <w:color w:val="000000" w:themeColor="text1"/>
              </w:rPr>
            </w:pPr>
            <w:r w:rsidRPr="001A6126">
              <w:rPr>
                <w:rFonts w:ascii="Calibri" w:hAnsi="Calibri"/>
                <w:b/>
                <w:bCs/>
                <w:color w:val="000000" w:themeColor="text1"/>
              </w:rPr>
              <w:t>Guidelines</w:t>
            </w:r>
          </w:p>
        </w:tc>
        <w:tc>
          <w:tcPr>
            <w:tcW w:w="8640" w:type="dxa"/>
          </w:tcPr>
          <w:p w14:paraId="357CF98C" w14:textId="77777777" w:rsidR="002D23DD" w:rsidRPr="001A6126" w:rsidRDefault="002D23DD" w:rsidP="009803B5">
            <w:pPr>
              <w:jc w:val="both"/>
              <w:rPr>
                <w:rFonts w:ascii="Calibri" w:hAnsi="Calibri"/>
                <w:color w:val="000000" w:themeColor="text1"/>
              </w:rPr>
            </w:pPr>
            <w:r w:rsidRPr="001A6126">
              <w:rPr>
                <w:rFonts w:ascii="Calibri" w:hAnsi="Calibri"/>
                <w:b/>
                <w:color w:val="000000" w:themeColor="text1"/>
              </w:rPr>
              <w:t>1.0</w:t>
            </w:r>
            <w:r w:rsidRPr="001A6126">
              <w:rPr>
                <w:rFonts w:ascii="Calibri" w:hAnsi="Calibri"/>
                <w:b/>
                <w:color w:val="000000" w:themeColor="text1"/>
              </w:rPr>
              <w:tab/>
              <w:t>Pre-audit Planning</w:t>
            </w:r>
            <w:r w:rsidR="008B15D1" w:rsidRPr="001A6126">
              <w:rPr>
                <w:rFonts w:ascii="Calibri" w:hAnsi="Calibri"/>
                <w:b/>
                <w:color w:val="000000" w:themeColor="text1"/>
              </w:rPr>
              <w:t>:</w:t>
            </w:r>
          </w:p>
          <w:p w14:paraId="0406BEEA" w14:textId="2F798EEF" w:rsidR="003469C6" w:rsidRPr="001A6126" w:rsidRDefault="003469C6" w:rsidP="003469C6">
            <w:pPr>
              <w:jc w:val="both"/>
              <w:rPr>
                <w:rFonts w:ascii="Calibri" w:hAnsi="Calibri"/>
                <w:color w:val="000000" w:themeColor="text1"/>
              </w:rPr>
            </w:pPr>
            <w:r w:rsidRPr="001A6126">
              <w:rPr>
                <w:rFonts w:ascii="Calibri" w:hAnsi="Calibri"/>
                <w:color w:val="000000" w:themeColor="text1"/>
              </w:rPr>
              <w:t xml:space="preserve">As a general rule, the Finance Department </w:t>
            </w:r>
            <w:r w:rsidR="001A6126" w:rsidRPr="001A6126">
              <w:rPr>
                <w:rFonts w:ascii="Calibri" w:hAnsi="Calibri"/>
                <w:color w:val="000000" w:themeColor="text1"/>
              </w:rPr>
              <w:t>should ensure</w:t>
            </w:r>
            <w:r w:rsidRPr="001A6126">
              <w:rPr>
                <w:rFonts w:ascii="Calibri" w:hAnsi="Calibri"/>
                <w:color w:val="000000" w:themeColor="text1"/>
              </w:rPr>
              <w:t xml:space="preserve"> that the following are done </w:t>
            </w:r>
            <w:r w:rsidR="00C52ED5" w:rsidRPr="001A6126">
              <w:rPr>
                <w:rFonts w:ascii="Calibri" w:hAnsi="Calibri"/>
                <w:color w:val="000000" w:themeColor="text1"/>
              </w:rPr>
              <w:t xml:space="preserve">before </w:t>
            </w:r>
            <w:r w:rsidRPr="001A6126">
              <w:rPr>
                <w:rFonts w:ascii="Calibri" w:hAnsi="Calibri"/>
                <w:color w:val="000000" w:themeColor="text1"/>
              </w:rPr>
              <w:t>commencing the internal audit engagement:</w:t>
            </w:r>
          </w:p>
          <w:p w14:paraId="11D6BB5A" w14:textId="77777777" w:rsidR="002D23DD" w:rsidRPr="001A6126" w:rsidRDefault="002D23DD" w:rsidP="008A0E62">
            <w:pPr>
              <w:numPr>
                <w:ilvl w:val="0"/>
                <w:numId w:val="1"/>
              </w:numPr>
              <w:jc w:val="both"/>
              <w:rPr>
                <w:rFonts w:ascii="Calibri" w:hAnsi="Calibri"/>
                <w:color w:val="000000" w:themeColor="text1"/>
              </w:rPr>
            </w:pPr>
            <w:r w:rsidRPr="001A6126">
              <w:rPr>
                <w:rFonts w:ascii="Calibri" w:hAnsi="Calibri"/>
                <w:color w:val="000000" w:themeColor="text1"/>
              </w:rPr>
              <w:t>Reviewing and approving transactions before they are processed for accounting journal entry.</w:t>
            </w:r>
          </w:p>
          <w:p w14:paraId="75DE22D7"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Reconciling accounts</w:t>
            </w:r>
          </w:p>
          <w:p w14:paraId="65EB8651"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Preparing documents on a timely basis within the prescribed deadlines/timeframes</w:t>
            </w:r>
          </w:p>
          <w:p w14:paraId="178CC724"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Filing and retaining documents in an organized fashion consistent with the departments or the organizations record retention policies</w:t>
            </w:r>
          </w:p>
          <w:p w14:paraId="0EC07145" w14:textId="77777777" w:rsidR="002D23DD" w:rsidRPr="001A6126" w:rsidRDefault="002D23DD" w:rsidP="00B44D37">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Segregating duties within a function such that no one person performs all of the procedures from beginning to end within that business process.</w:t>
            </w:r>
          </w:p>
          <w:p w14:paraId="7710C95F" w14:textId="5A0A3FEA" w:rsidR="001A6126"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Upon receipt of the Notification of Audit, review it, determine a convenient time, and respond to the auditor as soon as possible.</w:t>
            </w:r>
          </w:p>
          <w:p w14:paraId="6326CE65" w14:textId="77777777" w:rsidR="001A6126"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Once an agreed upon timing is reached, commit to it.  Ensure resources are available to assist the auditors with answering questions, obtaining documentation, etc.  The longer it takes to complete the audit, the longer the auditors will be on the site.</w:t>
            </w:r>
          </w:p>
          <w:p w14:paraId="592DAC27" w14:textId="588274D8" w:rsidR="002D23DD"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Identify space within your unit for the audit team to work.  If space is unavailable, please let the auditor in charge know up front so other arrangements can be made.</w:t>
            </w:r>
          </w:p>
          <w:p w14:paraId="48323B7E"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2.0</w:t>
            </w:r>
            <w:r w:rsidRPr="001A6126">
              <w:rPr>
                <w:rFonts w:ascii="Calibri" w:hAnsi="Calibri"/>
                <w:b/>
                <w:color w:val="000000" w:themeColor="text1"/>
              </w:rPr>
              <w:tab/>
              <w:t>Meeting with Auditee Units (Clients)</w:t>
            </w:r>
            <w:r w:rsidR="008B15D1" w:rsidRPr="001A6126">
              <w:rPr>
                <w:rFonts w:ascii="Calibri" w:hAnsi="Calibri"/>
                <w:b/>
                <w:color w:val="000000" w:themeColor="text1"/>
              </w:rPr>
              <w:t>:</w:t>
            </w:r>
          </w:p>
          <w:p w14:paraId="4A213D1F"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Bring only key personnel to the Entrance Meeting who will have significant direct involvement in the audit (</w:t>
            </w:r>
            <w:proofErr w:type="gramStart"/>
            <w:r w:rsidRPr="001A6126">
              <w:rPr>
                <w:rFonts w:ascii="Calibri" w:hAnsi="Calibri"/>
                <w:color w:val="000000" w:themeColor="text1"/>
              </w:rPr>
              <w:t>i.e.</w:t>
            </w:r>
            <w:proofErr w:type="gramEnd"/>
            <w:r w:rsidRPr="001A6126">
              <w:rPr>
                <w:rFonts w:ascii="Calibri" w:hAnsi="Calibri"/>
                <w:color w:val="000000" w:themeColor="text1"/>
              </w:rPr>
              <w:t xml:space="preserve"> supervisors, managers, directors, etc.)</w:t>
            </w:r>
          </w:p>
          <w:p w14:paraId="78329AC3"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Ask questions to ensure you understand the audit process, the scope, timing, and any other requirements.</w:t>
            </w:r>
          </w:p>
          <w:p w14:paraId="48681623"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Inform the auditor of any potential issues (</w:t>
            </w:r>
            <w:proofErr w:type="gramStart"/>
            <w:r w:rsidRPr="001A6126">
              <w:rPr>
                <w:rFonts w:ascii="Calibri" w:hAnsi="Calibri"/>
                <w:color w:val="000000" w:themeColor="text1"/>
              </w:rPr>
              <w:t>e.g.</w:t>
            </w:r>
            <w:proofErr w:type="gramEnd"/>
            <w:r w:rsidRPr="001A6126">
              <w:rPr>
                <w:rFonts w:ascii="Calibri" w:hAnsi="Calibri"/>
                <w:color w:val="000000" w:themeColor="text1"/>
              </w:rPr>
              <w:t xml:space="preserve"> operational, timing, resources, etc.).  Issues are best handled proactively rather than reactively.</w:t>
            </w:r>
          </w:p>
          <w:p w14:paraId="5C261AC0"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Make specific audit requests to review or pay closer attention to areas that may not have been included in the auditor’s original scope</w:t>
            </w:r>
            <w:r w:rsidR="002A0D01" w:rsidRPr="001A6126">
              <w:rPr>
                <w:rFonts w:ascii="Calibri" w:hAnsi="Calibri"/>
                <w:color w:val="000000" w:themeColor="text1"/>
              </w:rPr>
              <w:t xml:space="preserve"> &amp; plan</w:t>
            </w:r>
            <w:r w:rsidRPr="001A6126">
              <w:rPr>
                <w:rFonts w:ascii="Calibri" w:hAnsi="Calibri"/>
                <w:color w:val="000000" w:themeColor="text1"/>
              </w:rPr>
              <w:t>.  This is your opportunity to help design the audit or voice particular concerns of interest to management.</w:t>
            </w:r>
          </w:p>
          <w:p w14:paraId="788F3B9C" w14:textId="77777777" w:rsidR="001A6126"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Inform the auditor of any blocks of vacation or illness time that may occur during the proposed audit time. If absolutely necessary, the timing of the audit may be adjusted</w:t>
            </w:r>
            <w:r w:rsidR="00F836A9" w:rsidRPr="001A6126">
              <w:rPr>
                <w:rFonts w:ascii="Calibri" w:hAnsi="Calibri"/>
                <w:color w:val="000000" w:themeColor="text1"/>
              </w:rPr>
              <w:t xml:space="preserve"> / postponed</w:t>
            </w:r>
            <w:r w:rsidRPr="001A6126">
              <w:rPr>
                <w:rFonts w:ascii="Calibri" w:hAnsi="Calibri"/>
                <w:color w:val="000000" w:themeColor="text1"/>
              </w:rPr>
              <w:t xml:space="preserve"> to accommodate the absence of key personnel due to vacation or illness time.</w:t>
            </w:r>
          </w:p>
          <w:p w14:paraId="50D2D755" w14:textId="77777777" w:rsidR="001A6126"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lastRenderedPageBreak/>
              <w:t xml:space="preserve">Explain the audit process and timing to </w:t>
            </w:r>
            <w:r w:rsidR="00F836A9" w:rsidRPr="001A6126">
              <w:rPr>
                <w:rFonts w:ascii="Calibri" w:hAnsi="Calibri"/>
                <w:color w:val="000000" w:themeColor="text1"/>
              </w:rPr>
              <w:t xml:space="preserve">your staff </w:t>
            </w:r>
            <w:r w:rsidRPr="001A6126">
              <w:rPr>
                <w:rFonts w:ascii="Calibri" w:hAnsi="Calibri"/>
                <w:color w:val="000000" w:themeColor="text1"/>
              </w:rPr>
              <w:t>so they understand t</w:t>
            </w:r>
            <w:r w:rsidR="00F836A9" w:rsidRPr="001A6126">
              <w:rPr>
                <w:rFonts w:ascii="Calibri" w:hAnsi="Calibri"/>
                <w:color w:val="000000" w:themeColor="text1"/>
              </w:rPr>
              <w:t xml:space="preserve">he scope and overall objectives of </w:t>
            </w:r>
            <w:r w:rsidR="00BE7CA8" w:rsidRPr="001A6126">
              <w:rPr>
                <w:rFonts w:ascii="Calibri" w:hAnsi="Calibri"/>
                <w:color w:val="000000" w:themeColor="text1"/>
              </w:rPr>
              <w:t>the audit process &amp; request their full cooperation with the audit staff.</w:t>
            </w:r>
          </w:p>
          <w:p w14:paraId="0A6EF74B" w14:textId="49DD7B5F" w:rsidR="002D23DD"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Designate key contact personnel to interact with the audit team.  These individuals should be someone who is knowledgeable about the process and can authorize access to documents and other staff members for inquiries.</w:t>
            </w:r>
          </w:p>
          <w:p w14:paraId="5E11C13A"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3.0</w:t>
            </w:r>
            <w:r w:rsidRPr="001A6126">
              <w:rPr>
                <w:rFonts w:ascii="Calibri" w:hAnsi="Calibri"/>
                <w:b/>
                <w:color w:val="000000" w:themeColor="text1"/>
              </w:rPr>
              <w:tab/>
              <w:t>Information Request List</w:t>
            </w:r>
            <w:r w:rsidR="008B15D1" w:rsidRPr="001A6126">
              <w:rPr>
                <w:rFonts w:ascii="Calibri" w:hAnsi="Calibri"/>
                <w:b/>
                <w:color w:val="000000" w:themeColor="text1"/>
              </w:rPr>
              <w:t>:</w:t>
            </w:r>
          </w:p>
          <w:p w14:paraId="6A2EA4C3" w14:textId="77777777" w:rsidR="002D23DD" w:rsidRPr="001A6126" w:rsidRDefault="002D23DD" w:rsidP="008A0E62">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Review the Information Request List and determine if the items requested are available and in what form (</w:t>
            </w:r>
            <w:proofErr w:type="gramStart"/>
            <w:r w:rsidRPr="001A6126">
              <w:rPr>
                <w:rFonts w:ascii="Calibri" w:hAnsi="Calibri"/>
                <w:color w:val="000000" w:themeColor="text1"/>
              </w:rPr>
              <w:t>e.g.</w:t>
            </w:r>
            <w:proofErr w:type="gramEnd"/>
            <w:r w:rsidRPr="001A6126">
              <w:rPr>
                <w:rFonts w:ascii="Calibri" w:hAnsi="Calibri"/>
                <w:color w:val="000000" w:themeColor="text1"/>
              </w:rPr>
              <w:t xml:space="preserve"> email, fax, reports, etc.)</w:t>
            </w:r>
          </w:p>
          <w:p w14:paraId="1A73ACC0" w14:textId="77777777" w:rsidR="002D23DD" w:rsidRPr="001A6126" w:rsidRDefault="002D23DD" w:rsidP="008A0E62">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Inform the auditor if any of the items requested are not available and be proactive at providing viable information alternatives.  Again, not providing information is not going to shorten the duration of the audit.  The audit objectives must be achieved so working together to find alternatives will make the audit more efficient.</w:t>
            </w:r>
          </w:p>
          <w:p w14:paraId="62B70868" w14:textId="77777777" w:rsidR="002D23DD" w:rsidRPr="001A6126" w:rsidRDefault="002D23DD" w:rsidP="008B15D1">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Make personnel available to answer questions, provide explanations and documentation.</w:t>
            </w:r>
          </w:p>
          <w:p w14:paraId="22CA62A3"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4.0</w:t>
            </w:r>
            <w:r w:rsidRPr="001A6126">
              <w:rPr>
                <w:rFonts w:ascii="Calibri" w:hAnsi="Calibri"/>
                <w:b/>
                <w:color w:val="000000" w:themeColor="text1"/>
              </w:rPr>
              <w:tab/>
              <w:t>During Audit Fieldwork</w:t>
            </w:r>
            <w:r w:rsidR="008B15D1" w:rsidRPr="001A6126">
              <w:rPr>
                <w:rFonts w:ascii="Calibri" w:hAnsi="Calibri"/>
                <w:b/>
                <w:color w:val="000000" w:themeColor="text1"/>
              </w:rPr>
              <w:t>:</w:t>
            </w:r>
          </w:p>
          <w:p w14:paraId="4936CD6C" w14:textId="77777777" w:rsidR="002D23DD" w:rsidRPr="001A6126" w:rsidRDefault="002D23DD" w:rsidP="00F02CF3">
            <w:pPr>
              <w:numPr>
                <w:ilvl w:val="0"/>
                <w:numId w:val="5"/>
              </w:numPr>
              <w:tabs>
                <w:tab w:val="left" w:pos="1440"/>
              </w:tabs>
              <w:jc w:val="both"/>
              <w:rPr>
                <w:rFonts w:ascii="Calibri" w:hAnsi="Calibri"/>
                <w:color w:val="000000" w:themeColor="text1"/>
              </w:rPr>
            </w:pPr>
            <w:r w:rsidRPr="001A6126">
              <w:rPr>
                <w:rFonts w:ascii="Calibri" w:hAnsi="Calibri"/>
                <w:color w:val="000000" w:themeColor="text1"/>
              </w:rPr>
              <w:t>Attend the status meetings and discuss progress and issues.</w:t>
            </w:r>
          </w:p>
          <w:p w14:paraId="567389A4" w14:textId="77777777" w:rsidR="002D23DD" w:rsidRPr="001A6126" w:rsidRDefault="002D23DD" w:rsidP="00F02CF3">
            <w:pPr>
              <w:jc w:val="both"/>
              <w:rPr>
                <w:rFonts w:ascii="Calibri" w:hAnsi="Calibri"/>
                <w:b/>
                <w:color w:val="000000" w:themeColor="text1"/>
              </w:rPr>
            </w:pPr>
            <w:r w:rsidRPr="001A6126">
              <w:rPr>
                <w:rFonts w:ascii="Calibri" w:hAnsi="Calibri"/>
                <w:b/>
                <w:color w:val="000000" w:themeColor="text1"/>
              </w:rPr>
              <w:t>5.0</w:t>
            </w:r>
            <w:r w:rsidRPr="001A6126">
              <w:rPr>
                <w:rFonts w:ascii="Calibri" w:hAnsi="Calibri"/>
                <w:b/>
                <w:color w:val="000000" w:themeColor="text1"/>
              </w:rPr>
              <w:tab/>
              <w:t>Managing Issues and Resolution</w:t>
            </w:r>
            <w:r w:rsidR="00F02CF3" w:rsidRPr="001A6126">
              <w:rPr>
                <w:rFonts w:ascii="Calibri" w:hAnsi="Calibri"/>
                <w:b/>
                <w:color w:val="000000" w:themeColor="text1"/>
              </w:rPr>
              <w:t>:</w:t>
            </w:r>
          </w:p>
          <w:p w14:paraId="29743784" w14:textId="77777777" w:rsidR="002D23DD" w:rsidRPr="001A6126" w:rsidRDefault="002D23DD" w:rsidP="00F02CF3">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Address and resolve issues proactively.  This is a very critical aspect of any audit.  If issues can be resolved, they will not be identified as findings and documented in preliminary audit report comments. Avoid reportable findings by doing the following:</w:t>
            </w:r>
          </w:p>
          <w:p w14:paraId="6A827BBF" w14:textId="77777777" w:rsidR="002D23DD" w:rsidRPr="001A6126" w:rsidRDefault="002D23DD" w:rsidP="008A0E62">
            <w:pPr>
              <w:numPr>
                <w:ilvl w:val="1"/>
                <w:numId w:val="6"/>
              </w:numPr>
              <w:tabs>
                <w:tab w:val="left" w:pos="1440"/>
              </w:tabs>
              <w:jc w:val="both"/>
              <w:rPr>
                <w:rFonts w:ascii="Calibri" w:hAnsi="Calibri"/>
                <w:color w:val="000000" w:themeColor="text1"/>
              </w:rPr>
            </w:pPr>
            <w:r w:rsidRPr="001A6126">
              <w:rPr>
                <w:rFonts w:ascii="Calibri" w:hAnsi="Calibri"/>
                <w:color w:val="000000" w:themeColor="text1"/>
              </w:rPr>
              <w:t>Ensure the facts are correct</w:t>
            </w:r>
          </w:p>
          <w:p w14:paraId="2AD24274" w14:textId="77777777" w:rsidR="002D23DD" w:rsidRPr="001A6126" w:rsidRDefault="002D23DD" w:rsidP="008A0E62">
            <w:pPr>
              <w:numPr>
                <w:ilvl w:val="1"/>
                <w:numId w:val="6"/>
              </w:numPr>
              <w:tabs>
                <w:tab w:val="left" w:pos="1440"/>
                <w:tab w:val="left" w:pos="2160"/>
              </w:tabs>
              <w:jc w:val="both"/>
              <w:rPr>
                <w:rFonts w:ascii="Calibri" w:hAnsi="Calibri"/>
                <w:color w:val="000000" w:themeColor="text1"/>
              </w:rPr>
            </w:pPr>
            <w:r w:rsidRPr="001A6126">
              <w:rPr>
                <w:rFonts w:ascii="Calibri" w:hAnsi="Calibri"/>
                <w:color w:val="000000" w:themeColor="text1"/>
              </w:rPr>
              <w:t>Discuss the issue with the auditor and provide any information that may be critical to understanding the full scope of the issue.</w:t>
            </w:r>
          </w:p>
          <w:p w14:paraId="5F4C1D7A" w14:textId="77777777" w:rsidR="002D23DD" w:rsidRPr="001A6126" w:rsidRDefault="002D23DD" w:rsidP="00373B64">
            <w:pPr>
              <w:numPr>
                <w:ilvl w:val="1"/>
                <w:numId w:val="6"/>
              </w:numPr>
              <w:tabs>
                <w:tab w:val="left" w:pos="1440"/>
              </w:tabs>
              <w:jc w:val="both"/>
              <w:rPr>
                <w:rFonts w:ascii="Calibri" w:hAnsi="Calibri"/>
                <w:color w:val="000000" w:themeColor="text1"/>
              </w:rPr>
            </w:pPr>
            <w:r w:rsidRPr="001A6126">
              <w:rPr>
                <w:rFonts w:ascii="Calibri" w:hAnsi="Calibri"/>
                <w:color w:val="000000" w:themeColor="text1"/>
              </w:rPr>
              <w:t>Obtain supporting documentation to clear or resolve a potential finding</w:t>
            </w:r>
          </w:p>
          <w:p w14:paraId="0613BA26"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If it is decided that the issue is a reportable finding, request draft copies of any preliminary audit report comments</w:t>
            </w:r>
          </w:p>
          <w:p w14:paraId="3DD8FBB4"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Keep your senior management apprised of the audit and any issues that arise.  Again, no one likes surprises.</w:t>
            </w:r>
          </w:p>
          <w:p w14:paraId="483CEF33"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Discuss the planned corrective action plan with your senior management prior to writing your formal response to ensure they agree with your course of action</w:t>
            </w:r>
          </w:p>
          <w:p w14:paraId="64B143F4" w14:textId="24D52B47" w:rsidR="002D23DD" w:rsidRPr="001A6126" w:rsidRDefault="002D23DD" w:rsidP="008A0E62">
            <w:pPr>
              <w:numPr>
                <w:ilvl w:val="0"/>
                <w:numId w:val="6"/>
              </w:numPr>
              <w:tabs>
                <w:tab w:val="left" w:pos="1440"/>
              </w:tabs>
              <w:jc w:val="both"/>
              <w:rPr>
                <w:rFonts w:ascii="Calibri" w:hAnsi="Calibri"/>
                <w:strike/>
                <w:color w:val="000000" w:themeColor="text1"/>
              </w:rPr>
            </w:pPr>
            <w:r w:rsidRPr="001A6126">
              <w:rPr>
                <w:rFonts w:ascii="Calibri" w:hAnsi="Calibri"/>
                <w:color w:val="000000" w:themeColor="text1"/>
              </w:rPr>
              <w:t xml:space="preserve">Prepare a written response. </w:t>
            </w:r>
          </w:p>
          <w:p w14:paraId="7F88CBF7" w14:textId="77777777" w:rsidR="002D23DD" w:rsidRPr="001A6126" w:rsidRDefault="002D23DD" w:rsidP="00373B64">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Ensure you have all findings before the completion of the audit.</w:t>
            </w:r>
          </w:p>
          <w:p w14:paraId="3E05CB40" w14:textId="77777777" w:rsidR="002D23DD" w:rsidRPr="001A6126" w:rsidRDefault="002D23DD" w:rsidP="00373B64">
            <w:pPr>
              <w:jc w:val="both"/>
              <w:rPr>
                <w:rFonts w:ascii="Calibri" w:hAnsi="Calibri"/>
                <w:b/>
                <w:color w:val="000000" w:themeColor="text1"/>
              </w:rPr>
            </w:pPr>
            <w:r w:rsidRPr="001A6126">
              <w:rPr>
                <w:rFonts w:ascii="Calibri" w:hAnsi="Calibri"/>
                <w:b/>
                <w:color w:val="000000" w:themeColor="text1"/>
              </w:rPr>
              <w:t>6.0</w:t>
            </w:r>
            <w:r w:rsidRPr="001A6126">
              <w:rPr>
                <w:rFonts w:ascii="Calibri" w:hAnsi="Calibri"/>
                <w:b/>
                <w:color w:val="000000" w:themeColor="text1"/>
              </w:rPr>
              <w:tab/>
              <w:t>Quality Assurance</w:t>
            </w:r>
            <w:r w:rsidR="00373B64" w:rsidRPr="001A6126">
              <w:rPr>
                <w:rFonts w:ascii="Calibri" w:hAnsi="Calibri"/>
                <w:b/>
                <w:color w:val="000000" w:themeColor="text1"/>
              </w:rPr>
              <w:t>:</w:t>
            </w:r>
          </w:p>
          <w:p w14:paraId="7F532E4A" w14:textId="77777777" w:rsidR="002D23DD" w:rsidRPr="001A6126" w:rsidRDefault="002D23DD" w:rsidP="00373B64">
            <w:pPr>
              <w:ind w:left="720"/>
              <w:jc w:val="both"/>
              <w:rPr>
                <w:rFonts w:ascii="Calibri" w:hAnsi="Calibri"/>
                <w:color w:val="000000" w:themeColor="text1"/>
              </w:rPr>
            </w:pPr>
            <w:r w:rsidRPr="001A6126">
              <w:rPr>
                <w:rFonts w:ascii="Calibri" w:hAnsi="Calibri"/>
                <w:color w:val="000000" w:themeColor="text1"/>
              </w:rPr>
              <w:t xml:space="preserve">Internal Audit Management reviews all audit work papers, findings, and a draft of the audit report prior to the issuance of the final report.  During this phase, IA management may identify additional questions or issues that will require some follow up by the audit team.  While the audit team may have left your department, the audit is not complete until the final audit report is issued.  So please be patient, IA must ensure that every audit is a quality audit that met </w:t>
            </w:r>
            <w:r w:rsidRPr="001A6126">
              <w:rPr>
                <w:rFonts w:ascii="Calibri" w:hAnsi="Calibri"/>
                <w:color w:val="000000" w:themeColor="text1"/>
              </w:rPr>
              <w:lastRenderedPageBreak/>
              <w:t>all of its goals and objectives.  The majority of the audit is over once this state is reached.</w:t>
            </w:r>
          </w:p>
          <w:p w14:paraId="3523B722" w14:textId="77777777" w:rsidR="002D23DD" w:rsidRPr="001A6126" w:rsidRDefault="002D23DD" w:rsidP="00373B64">
            <w:pPr>
              <w:jc w:val="both"/>
              <w:rPr>
                <w:rFonts w:ascii="Calibri" w:hAnsi="Calibri"/>
                <w:b/>
                <w:color w:val="000000" w:themeColor="text1"/>
              </w:rPr>
            </w:pPr>
            <w:r w:rsidRPr="001A6126">
              <w:rPr>
                <w:rFonts w:ascii="Calibri" w:hAnsi="Calibri"/>
                <w:b/>
                <w:color w:val="000000" w:themeColor="text1"/>
              </w:rPr>
              <w:t>7.0</w:t>
            </w:r>
            <w:r w:rsidRPr="001A6126">
              <w:rPr>
                <w:rFonts w:ascii="Calibri" w:hAnsi="Calibri"/>
                <w:b/>
                <w:color w:val="000000" w:themeColor="text1"/>
              </w:rPr>
              <w:tab/>
              <w:t>During Reporting</w:t>
            </w:r>
            <w:r w:rsidR="00373B64" w:rsidRPr="001A6126">
              <w:rPr>
                <w:rFonts w:ascii="Calibri" w:hAnsi="Calibri"/>
                <w:b/>
                <w:color w:val="000000" w:themeColor="text1"/>
              </w:rPr>
              <w:t>:</w:t>
            </w:r>
          </w:p>
          <w:p w14:paraId="36355CB5" w14:textId="77777777" w:rsidR="002D23DD" w:rsidRPr="001A6126" w:rsidRDefault="002D23DD" w:rsidP="008A0E62">
            <w:pPr>
              <w:numPr>
                <w:ilvl w:val="0"/>
                <w:numId w:val="7"/>
              </w:numPr>
              <w:tabs>
                <w:tab w:val="left" w:pos="1440"/>
              </w:tabs>
              <w:jc w:val="both"/>
              <w:rPr>
                <w:rFonts w:ascii="Calibri" w:hAnsi="Calibri"/>
                <w:color w:val="000000" w:themeColor="text1"/>
              </w:rPr>
            </w:pPr>
            <w:r w:rsidRPr="001A6126">
              <w:rPr>
                <w:rFonts w:ascii="Calibri" w:hAnsi="Calibri"/>
                <w:color w:val="000000" w:themeColor="text1"/>
              </w:rPr>
              <w:t>Review the draft of the final audit report.</w:t>
            </w:r>
          </w:p>
          <w:p w14:paraId="38325EED" w14:textId="77777777" w:rsidR="002D23DD" w:rsidRPr="001A6126" w:rsidRDefault="002D23DD" w:rsidP="008A0E62">
            <w:pPr>
              <w:numPr>
                <w:ilvl w:val="0"/>
                <w:numId w:val="7"/>
              </w:numPr>
              <w:tabs>
                <w:tab w:val="left" w:pos="1440"/>
              </w:tabs>
              <w:jc w:val="both"/>
              <w:rPr>
                <w:rFonts w:ascii="Calibri" w:hAnsi="Calibri"/>
                <w:color w:val="000000" w:themeColor="text1"/>
              </w:rPr>
            </w:pPr>
            <w:r w:rsidRPr="001A6126">
              <w:rPr>
                <w:rFonts w:ascii="Calibri" w:hAnsi="Calibri"/>
                <w:color w:val="000000" w:themeColor="text1"/>
              </w:rPr>
              <w:t>Review each section thoroughly</w:t>
            </w:r>
          </w:p>
          <w:p w14:paraId="103806E9"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Ensure each section is accurate and complete. The findings section should mirror the preliminary audit report comments you reviewed and discussed during fieldwork with the exception of minor wording changes you’ve agreed upon with the auditor.</w:t>
            </w:r>
          </w:p>
          <w:p w14:paraId="7E1DB25A"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 xml:space="preserve">Ensure the auditor makes all proposed revisions </w:t>
            </w:r>
            <w:r w:rsidR="00373B64" w:rsidRPr="001A6126">
              <w:rPr>
                <w:rFonts w:ascii="Calibri" w:hAnsi="Calibri"/>
                <w:color w:val="000000" w:themeColor="text1"/>
              </w:rPr>
              <w:t xml:space="preserve">to </w:t>
            </w:r>
            <w:r w:rsidRPr="001A6126">
              <w:rPr>
                <w:rFonts w:ascii="Calibri" w:hAnsi="Calibri"/>
                <w:color w:val="000000" w:themeColor="text1"/>
              </w:rPr>
              <w:t>the report draft.</w:t>
            </w:r>
          </w:p>
          <w:p w14:paraId="5FCDFECA"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If no further revisions are required, a final audit report is issued.</w:t>
            </w:r>
          </w:p>
          <w:p w14:paraId="390BA658" w14:textId="1F356E1D" w:rsidR="00B95D2A" w:rsidRPr="001A6126" w:rsidRDefault="002D23DD" w:rsidP="001A6126">
            <w:pPr>
              <w:numPr>
                <w:ilvl w:val="0"/>
                <w:numId w:val="7"/>
              </w:numPr>
              <w:tabs>
                <w:tab w:val="left" w:pos="1440"/>
                <w:tab w:val="left" w:pos="2160"/>
              </w:tabs>
              <w:jc w:val="both"/>
              <w:rPr>
                <w:rStyle w:val="Strong"/>
                <w:rFonts w:ascii="Calibri" w:hAnsi="Calibri"/>
                <w:b w:val="0"/>
                <w:bCs w:val="0"/>
                <w:color w:val="000000" w:themeColor="text1"/>
              </w:rPr>
            </w:pPr>
            <w:r w:rsidRPr="001A6126">
              <w:rPr>
                <w:rFonts w:ascii="Calibri" w:hAnsi="Calibri"/>
                <w:color w:val="000000" w:themeColor="text1"/>
              </w:rPr>
              <w:t>Share the final audit report with your staff so they are informed about the results of the audit.  This also serves as an excellent training and motivation tool for staff to see how their daily work activities impacts the department and the company as a whole.</w:t>
            </w:r>
          </w:p>
        </w:tc>
      </w:tr>
    </w:tbl>
    <w:p w14:paraId="0D010504" w14:textId="77777777" w:rsidR="00AF2B48" w:rsidRPr="001A6126" w:rsidRDefault="00AF2B48">
      <w:pPr>
        <w:rPr>
          <w:color w:val="000000" w:themeColor="text1"/>
        </w:rPr>
      </w:pPr>
    </w:p>
    <w:sectPr w:rsidR="00AF2B48" w:rsidRPr="001A6126"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2DAE" w14:textId="77777777" w:rsidR="003E3734" w:rsidRDefault="003E3734">
      <w:r>
        <w:separator/>
      </w:r>
    </w:p>
  </w:endnote>
  <w:endnote w:type="continuationSeparator" w:id="0">
    <w:p w14:paraId="51A91887" w14:textId="77777777" w:rsidR="003E3734" w:rsidRDefault="003E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A77A" w14:textId="6EE0D6C1" w:rsidR="00BB0B2A" w:rsidRPr="000D4B12" w:rsidRDefault="000D4B12" w:rsidP="00BB0B2A">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65332E">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65332E">
      <w:rPr>
        <w:rFonts w:asciiTheme="minorHAnsi" w:hAnsiTheme="minorHAnsi" w:cstheme="minorHAnsi"/>
        <w:noProof/>
        <w:sz w:val="20"/>
        <w:szCs w:val="20"/>
      </w:rPr>
      <w:t>3</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p w14:paraId="7BDA1830" w14:textId="79FB18F6" w:rsidR="003069FB" w:rsidRPr="000D4B12" w:rsidRDefault="003069FB" w:rsidP="000D4B12">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72CF" w14:textId="77777777" w:rsidR="003E3734" w:rsidRDefault="003E3734">
      <w:r>
        <w:separator/>
      </w:r>
    </w:p>
  </w:footnote>
  <w:footnote w:type="continuationSeparator" w:id="0">
    <w:p w14:paraId="38F31454" w14:textId="77777777" w:rsidR="003E3734" w:rsidRDefault="003E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524C73" w:rsidRPr="003069FB" w14:paraId="2049865D" w14:textId="77777777" w:rsidTr="003069FB">
      <w:tc>
        <w:tcPr>
          <w:tcW w:w="4230" w:type="dxa"/>
        </w:tcPr>
        <w:p w14:paraId="3A9A82FE" w14:textId="4BBAD7A0" w:rsidR="00616880" w:rsidRPr="003069FB" w:rsidRDefault="000D4B12" w:rsidP="00890B8D">
          <w:pPr>
            <w:pStyle w:val="Header"/>
            <w:rPr>
              <w:b/>
              <w:noProof/>
              <w:sz w:val="28"/>
              <w:szCs w:val="28"/>
            </w:rPr>
          </w:pPr>
          <w:r>
            <w:rPr>
              <w:noProof/>
            </w:rPr>
            <w:drawing>
              <wp:anchor distT="0" distB="0" distL="114300" distR="114300" simplePos="0" relativeHeight="251658240" behindDoc="1" locked="0" layoutInCell="1" allowOverlap="1" wp14:anchorId="512DA936" wp14:editId="130EA792">
                <wp:simplePos x="0" y="0"/>
                <wp:positionH relativeFrom="column">
                  <wp:posOffset>17145</wp:posOffset>
                </wp:positionH>
                <wp:positionV relativeFrom="paragraph">
                  <wp:posOffset>0</wp:posOffset>
                </wp:positionV>
                <wp:extent cx="1762760" cy="419100"/>
                <wp:effectExtent l="0" t="0" r="8890" b="0"/>
                <wp:wrapTight wrapText="bothSides">
                  <wp:wrapPolygon edited="0">
                    <wp:start x="233" y="0"/>
                    <wp:lineTo x="0" y="2945"/>
                    <wp:lineTo x="0" y="20618"/>
                    <wp:lineTo x="21476" y="20618"/>
                    <wp:lineTo x="21476" y="0"/>
                    <wp:lineTo x="233" y="0"/>
                  </wp:wrapPolygon>
                </wp:wrapTight>
                <wp:docPr id="62613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36442" name="Picture 626136442"/>
                        <pic:cNvPicPr/>
                      </pic:nvPicPr>
                      <pic:blipFill>
                        <a:blip r:embed="rId1">
                          <a:extLst>
                            <a:ext uri="{28A0092B-C50C-407E-A947-70E740481C1C}">
                              <a14:useLocalDpi xmlns:a14="http://schemas.microsoft.com/office/drawing/2010/main" val="0"/>
                            </a:ext>
                          </a:extLst>
                        </a:blip>
                        <a:stretch>
                          <a:fillRect/>
                        </a:stretch>
                      </pic:blipFill>
                      <pic:spPr>
                        <a:xfrm>
                          <a:off x="0" y="0"/>
                          <a:ext cx="1762760" cy="419100"/>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54A0295B" w14:textId="47994B02" w:rsidR="00873F93" w:rsidRDefault="00EE5270" w:rsidP="00EE5270">
          <w:pPr>
            <w:pStyle w:val="Header"/>
            <w:jc w:val="right"/>
            <w:rPr>
              <w:rFonts w:ascii="Calibri" w:hAnsi="Calibri"/>
              <w:noProof/>
            </w:rPr>
          </w:pPr>
          <w:r w:rsidRPr="00890B8D">
            <w:rPr>
              <w:rFonts w:ascii="Calibri" w:hAnsi="Calibri"/>
              <w:b/>
              <w:noProof/>
              <w:sz w:val="32"/>
            </w:rPr>
            <w:t>Financial</w:t>
          </w:r>
          <w:r w:rsidR="00890B8D">
            <w:rPr>
              <w:rFonts w:ascii="Calibri" w:hAnsi="Calibri"/>
              <w:b/>
              <w:noProof/>
              <w:color w:val="FF0000"/>
              <w:sz w:val="32"/>
            </w:rPr>
            <w:t xml:space="preserve"> </w:t>
          </w:r>
          <w:r w:rsidR="002D23DD" w:rsidRPr="002D23DD">
            <w:rPr>
              <w:rFonts w:ascii="Calibri" w:hAnsi="Calibri"/>
              <w:b/>
              <w:noProof/>
              <w:sz w:val="32"/>
            </w:rPr>
            <w:t>Audit Preparation Policy</w:t>
          </w:r>
          <w:r w:rsidR="00C22C6E">
            <w:rPr>
              <w:rFonts w:ascii="Calibri" w:hAnsi="Calibri"/>
              <w:b/>
              <w:noProof/>
              <w:sz w:val="32"/>
            </w:rPr>
            <w:t xml:space="preserve"> IBU (JOR)</w:t>
          </w:r>
        </w:p>
        <w:p w14:paraId="2C1E44FE" w14:textId="524E8852" w:rsidR="00616880" w:rsidRPr="00890B8D" w:rsidRDefault="00616880" w:rsidP="00890B8D">
          <w:pPr>
            <w:pStyle w:val="Header"/>
            <w:jc w:val="right"/>
            <w:rPr>
              <w:rFonts w:ascii="Calibri" w:hAnsi="Calibri"/>
              <w:noProof/>
            </w:rPr>
          </w:pPr>
          <w:r w:rsidRPr="00524C73">
            <w:rPr>
              <w:rFonts w:ascii="Calibri" w:hAnsi="Calibri"/>
              <w:noProof/>
            </w:rPr>
            <w:t>Owner</w:t>
          </w:r>
          <w:r w:rsidR="00890B8D">
            <w:rPr>
              <w:rFonts w:ascii="Calibri" w:hAnsi="Calibri"/>
              <w:noProof/>
            </w:rPr>
            <w:t>/</w:t>
          </w:r>
          <w:r w:rsidR="00890B8D" w:rsidRPr="00524C73">
            <w:rPr>
              <w:rFonts w:ascii="Calibri" w:hAnsi="Calibri"/>
              <w:noProof/>
            </w:rPr>
            <w:t>Department</w:t>
          </w:r>
          <w:r w:rsidRPr="00524C73">
            <w:rPr>
              <w:rFonts w:ascii="Calibri" w:hAnsi="Calibri"/>
              <w:noProof/>
            </w:rPr>
            <w:t xml:space="preserve">: </w:t>
          </w:r>
          <w:r w:rsidR="00890B8D">
            <w:rPr>
              <w:rFonts w:ascii="Calibri" w:hAnsi="Calibri"/>
              <w:noProof/>
            </w:rPr>
            <w:t>Internal Audit</w:t>
          </w:r>
        </w:p>
      </w:tc>
    </w:tr>
  </w:tbl>
  <w:p w14:paraId="3FB45934" w14:textId="3C92184B"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C63"/>
    <w:multiLevelType w:val="hybridMultilevel"/>
    <w:tmpl w:val="5FAEFA76"/>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65D"/>
    <w:multiLevelType w:val="hybridMultilevel"/>
    <w:tmpl w:val="E59C3F90"/>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37EB"/>
    <w:multiLevelType w:val="hybridMultilevel"/>
    <w:tmpl w:val="DCCC264C"/>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60A60"/>
    <w:multiLevelType w:val="hybridMultilevel"/>
    <w:tmpl w:val="E88490A0"/>
    <w:lvl w:ilvl="0" w:tplc="0FB25C1E">
      <w:start w:val="1"/>
      <w:numFmt w:val="decimal"/>
      <w:lvlText w:val="%1."/>
      <w:lvlJc w:val="left"/>
      <w:pPr>
        <w:tabs>
          <w:tab w:val="num" w:pos="720"/>
        </w:tabs>
        <w:ind w:left="720" w:hanging="360"/>
      </w:pPr>
      <w:rPr>
        <w:rFonts w:hint="default"/>
      </w:rPr>
    </w:lvl>
    <w:lvl w:ilvl="1" w:tplc="C91E3498">
      <w:start w:val="7"/>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7454F"/>
    <w:multiLevelType w:val="hybridMultilevel"/>
    <w:tmpl w:val="57665672"/>
    <w:lvl w:ilvl="0" w:tplc="E74E2786">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D7373"/>
    <w:multiLevelType w:val="hybridMultilevel"/>
    <w:tmpl w:val="33989F3C"/>
    <w:lvl w:ilvl="0" w:tplc="6B8C3152">
      <w:start w:val="1"/>
      <w:numFmt w:val="decimal"/>
      <w:lvlText w:val="%1."/>
      <w:lvlJc w:val="left"/>
      <w:pPr>
        <w:tabs>
          <w:tab w:val="num" w:pos="720"/>
        </w:tabs>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A19C4"/>
    <w:multiLevelType w:val="hybridMultilevel"/>
    <w:tmpl w:val="5648A3C6"/>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37E79"/>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4B12"/>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212"/>
    <w:rsid w:val="000F4847"/>
    <w:rsid w:val="000F491D"/>
    <w:rsid w:val="000F5029"/>
    <w:rsid w:val="000F58D5"/>
    <w:rsid w:val="000F59A8"/>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6F2B"/>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009"/>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126"/>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BB9"/>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315"/>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1F40"/>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5D"/>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01"/>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DD"/>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4DE"/>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8F7"/>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9C6"/>
    <w:rsid w:val="00346C0E"/>
    <w:rsid w:val="00346CC5"/>
    <w:rsid w:val="00347364"/>
    <w:rsid w:val="0034785A"/>
    <w:rsid w:val="00347C31"/>
    <w:rsid w:val="0035003B"/>
    <w:rsid w:val="0035020E"/>
    <w:rsid w:val="00350223"/>
    <w:rsid w:val="00350539"/>
    <w:rsid w:val="00350681"/>
    <w:rsid w:val="00350C9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B64"/>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3C7"/>
    <w:rsid w:val="003A7A6C"/>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82C"/>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734"/>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1DA8"/>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218"/>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CB3"/>
    <w:rsid w:val="00527D5A"/>
    <w:rsid w:val="00527FA1"/>
    <w:rsid w:val="0053055C"/>
    <w:rsid w:val="0053067D"/>
    <w:rsid w:val="00530AE3"/>
    <w:rsid w:val="00530F19"/>
    <w:rsid w:val="00531A09"/>
    <w:rsid w:val="00531B8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36C"/>
    <w:rsid w:val="00585712"/>
    <w:rsid w:val="00585902"/>
    <w:rsid w:val="00585F2C"/>
    <w:rsid w:val="00586A27"/>
    <w:rsid w:val="00586DF0"/>
    <w:rsid w:val="005905D1"/>
    <w:rsid w:val="0059070C"/>
    <w:rsid w:val="005909D2"/>
    <w:rsid w:val="00590F1D"/>
    <w:rsid w:val="00591B23"/>
    <w:rsid w:val="005923C6"/>
    <w:rsid w:val="00592651"/>
    <w:rsid w:val="00592784"/>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36A"/>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3A3"/>
    <w:rsid w:val="005D0943"/>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25F"/>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2E"/>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AB7"/>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2AD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49A"/>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D5"/>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0E3F"/>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57C"/>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A20"/>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3FEE"/>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F9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B8D"/>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E62"/>
    <w:rsid w:val="008A12E2"/>
    <w:rsid w:val="008A15C3"/>
    <w:rsid w:val="008A187F"/>
    <w:rsid w:val="008A1F8F"/>
    <w:rsid w:val="008A2331"/>
    <w:rsid w:val="008A32AF"/>
    <w:rsid w:val="008A3948"/>
    <w:rsid w:val="008A3E61"/>
    <w:rsid w:val="008A3FD3"/>
    <w:rsid w:val="008A499F"/>
    <w:rsid w:val="008A49C6"/>
    <w:rsid w:val="008A5702"/>
    <w:rsid w:val="008A578B"/>
    <w:rsid w:val="008A57F3"/>
    <w:rsid w:val="008A5FE1"/>
    <w:rsid w:val="008A6FE0"/>
    <w:rsid w:val="008A71AE"/>
    <w:rsid w:val="008A75F0"/>
    <w:rsid w:val="008A7E28"/>
    <w:rsid w:val="008B0095"/>
    <w:rsid w:val="008B0385"/>
    <w:rsid w:val="008B04C5"/>
    <w:rsid w:val="008B06DC"/>
    <w:rsid w:val="008B0762"/>
    <w:rsid w:val="008B0EF9"/>
    <w:rsid w:val="008B119C"/>
    <w:rsid w:val="008B11F2"/>
    <w:rsid w:val="008B15D1"/>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8FF"/>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0AD"/>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279"/>
    <w:rsid w:val="0097535A"/>
    <w:rsid w:val="0097581B"/>
    <w:rsid w:val="00975A92"/>
    <w:rsid w:val="009764F6"/>
    <w:rsid w:val="009768D1"/>
    <w:rsid w:val="009771CB"/>
    <w:rsid w:val="009803B5"/>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2C3"/>
    <w:rsid w:val="009E0CC6"/>
    <w:rsid w:val="009E155C"/>
    <w:rsid w:val="009E1800"/>
    <w:rsid w:val="009E19B5"/>
    <w:rsid w:val="009E1FB9"/>
    <w:rsid w:val="009E2143"/>
    <w:rsid w:val="009E2627"/>
    <w:rsid w:val="009E2B52"/>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C7AE6"/>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D37"/>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088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2A"/>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A8"/>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2C6E"/>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D5"/>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1AE"/>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076"/>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1E4"/>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0E8"/>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189"/>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270"/>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CF3"/>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478C"/>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A67"/>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893"/>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C99"/>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6A9"/>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210B"/>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F753A"/>
  <w15:docId w15:val="{9892A563-F6B4-46C8-B7D8-4690F781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421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paragraph" w:styleId="BalloonText">
    <w:name w:val="Balloon Text"/>
    <w:basedOn w:val="Normal"/>
    <w:link w:val="BalloonTextChar"/>
    <w:locked/>
    <w:rsid w:val="003469C6"/>
    <w:rPr>
      <w:rFonts w:ascii="Tahoma" w:hAnsi="Tahoma" w:cs="Tahoma"/>
      <w:sz w:val="16"/>
      <w:szCs w:val="16"/>
    </w:rPr>
  </w:style>
  <w:style w:type="character" w:customStyle="1" w:styleId="BalloonTextChar">
    <w:name w:val="Balloon Text Char"/>
    <w:basedOn w:val="DefaultParagraphFont"/>
    <w:link w:val="BalloonText"/>
    <w:rsid w:val="003469C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6403-8E33-4D1D-9170-95CEFE0E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dcterms:created xsi:type="dcterms:W3CDTF">2023-09-26T11:49:00Z</dcterms:created>
  <dcterms:modified xsi:type="dcterms:W3CDTF">2025-09-03T08:13:00Z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9327501c8bde7ccc3b530416e3bc107e3a54c597c407eaacc0991c35ca299af3</vt:lpwstr>
  </property>
</Properties>
</file>