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61D6" w14:textId="77777777" w:rsidR="009F6B45" w:rsidRPr="009F6B45" w:rsidRDefault="009F6B45" w:rsidP="009F6B45">
      <w:pPr>
        <w:spacing w:line="276" w:lineRule="auto"/>
        <w:jc w:val="center"/>
        <w:rPr>
          <w:rFonts w:asciiTheme="minorHAnsi" w:hAnsiTheme="minorHAnsi" w:cstheme="minorHAnsi"/>
          <w:b/>
          <w:bCs/>
          <w:sz w:val="24"/>
          <w:szCs w:val="24"/>
          <w:u w:val="single"/>
        </w:rPr>
      </w:pPr>
    </w:p>
    <w:p w14:paraId="35162656" w14:textId="77777777" w:rsidR="009F6B45" w:rsidRPr="009F6B45" w:rsidRDefault="009F6B45" w:rsidP="009F6B45">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9F6B45">
        <w:rPr>
          <w:rFonts w:asciiTheme="minorHAnsi" w:hAnsiTheme="minorHAnsi" w:cstheme="minorHAnsi"/>
          <w:b/>
          <w:sz w:val="24"/>
          <w:szCs w:val="24"/>
        </w:rPr>
        <w:t>Purpose:</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r>
      <w:r w:rsidRPr="009F6B45">
        <w:rPr>
          <w:rFonts w:asciiTheme="minorHAnsi" w:hAnsiTheme="minorHAnsi" w:cstheme="minorHAnsi"/>
          <w:sz w:val="24"/>
          <w:szCs w:val="24"/>
        </w:rPr>
        <w:tab/>
      </w:r>
    </w:p>
    <w:p w14:paraId="2DC971AF" w14:textId="77777777" w:rsidR="009F6B45" w:rsidRPr="009F6B45" w:rsidRDefault="009F6B45" w:rsidP="009F6B45">
      <w:pPr>
        <w:tabs>
          <w:tab w:val="left" w:pos="0"/>
          <w:tab w:val="left" w:pos="1890"/>
        </w:tabs>
        <w:spacing w:line="360" w:lineRule="auto"/>
        <w:ind w:left="2160"/>
        <w:jc w:val="both"/>
        <w:rPr>
          <w:rFonts w:asciiTheme="minorHAnsi" w:hAnsiTheme="minorHAnsi" w:cstheme="minorHAnsi"/>
          <w:sz w:val="24"/>
          <w:szCs w:val="24"/>
        </w:rPr>
      </w:pPr>
    </w:p>
    <w:p w14:paraId="241B0225" w14:textId="77777777" w:rsidR="009F6B45" w:rsidRPr="009F6B45" w:rsidRDefault="009F6B45" w:rsidP="009F6B45">
      <w:pPr>
        <w:spacing w:line="360" w:lineRule="auto"/>
        <w:ind w:hanging="720"/>
        <w:jc w:val="both"/>
        <w:rPr>
          <w:rFonts w:asciiTheme="minorHAnsi" w:hAnsiTheme="minorHAnsi" w:cstheme="minorHAnsi"/>
          <w:sz w:val="24"/>
          <w:szCs w:val="24"/>
        </w:rPr>
      </w:pPr>
      <w:r w:rsidRPr="009F6B45">
        <w:rPr>
          <w:rFonts w:asciiTheme="minorHAnsi" w:hAnsiTheme="minorHAnsi" w:cstheme="minorHAnsi"/>
          <w:sz w:val="24"/>
          <w:szCs w:val="24"/>
        </w:rPr>
        <w:t>1.1</w:t>
      </w:r>
      <w:r w:rsidRPr="009F6B45">
        <w:rPr>
          <w:rFonts w:asciiTheme="minorHAnsi" w:hAnsiTheme="minorHAnsi" w:cstheme="minorHAnsi"/>
          <w:sz w:val="24"/>
          <w:szCs w:val="24"/>
        </w:rPr>
        <w:tab/>
        <w:t xml:space="preserve">The objective and purpose of this SOP is to set out the process followed internally in the Group HR Department when a subsidiary or business unit under </w:t>
      </w:r>
      <w:r w:rsidR="00525DD2" w:rsidRPr="00525DD2">
        <w:rPr>
          <w:rFonts w:ascii="Calibri" w:hAnsi="Calibri" w:cs="Calibri"/>
          <w:bCs/>
          <w:sz w:val="22"/>
          <w:szCs w:val="22"/>
        </w:rPr>
        <w:t>SMSA/</w:t>
      </w:r>
      <w:r>
        <w:rPr>
          <w:rFonts w:asciiTheme="minorHAnsi" w:hAnsiTheme="minorHAnsi" w:cstheme="minorHAnsi"/>
          <w:sz w:val="24"/>
          <w:szCs w:val="24"/>
        </w:rPr>
        <w:t>Namibia Logistics (Pty) Ltd,</w:t>
      </w:r>
      <w:r w:rsidRPr="009F6B45">
        <w:rPr>
          <w:rFonts w:asciiTheme="minorHAnsi" w:hAnsiTheme="minorHAnsi" w:cstheme="minorHAnsi"/>
          <w:sz w:val="24"/>
          <w:szCs w:val="24"/>
        </w:rPr>
        <w:t xml:space="preserve"> contemplates retrenching one (1) or more of its employees.</w:t>
      </w:r>
    </w:p>
    <w:p w14:paraId="3B2E086E" w14:textId="77777777" w:rsidR="009F6B45" w:rsidRPr="009F6B45" w:rsidRDefault="009F6B45" w:rsidP="009F6B45">
      <w:pPr>
        <w:spacing w:line="360" w:lineRule="auto"/>
        <w:ind w:hanging="720"/>
        <w:jc w:val="both"/>
        <w:rPr>
          <w:rFonts w:asciiTheme="minorHAnsi" w:hAnsiTheme="minorHAnsi" w:cstheme="minorHAnsi"/>
          <w:sz w:val="24"/>
          <w:szCs w:val="24"/>
        </w:rPr>
      </w:pPr>
      <w:r w:rsidRPr="009F6B45">
        <w:rPr>
          <w:rFonts w:asciiTheme="minorHAnsi" w:hAnsiTheme="minorHAnsi" w:cstheme="minorHAnsi"/>
          <w:sz w:val="24"/>
          <w:szCs w:val="24"/>
        </w:rPr>
        <w:t xml:space="preserve"> </w:t>
      </w:r>
    </w:p>
    <w:p w14:paraId="70062645" w14:textId="77777777" w:rsidR="009F6B45" w:rsidRPr="009F6B45" w:rsidRDefault="009F6B45" w:rsidP="009F6B45">
      <w:pPr>
        <w:numPr>
          <w:ilvl w:val="0"/>
          <w:numId w:val="40"/>
        </w:numPr>
        <w:spacing w:line="360" w:lineRule="auto"/>
        <w:ind w:left="0" w:hanging="810"/>
        <w:jc w:val="both"/>
        <w:rPr>
          <w:rFonts w:asciiTheme="minorHAnsi" w:hAnsiTheme="minorHAnsi" w:cstheme="minorHAnsi"/>
          <w:sz w:val="24"/>
          <w:szCs w:val="24"/>
        </w:rPr>
      </w:pPr>
      <w:r w:rsidRPr="009F6B45">
        <w:rPr>
          <w:rFonts w:asciiTheme="minorHAnsi" w:hAnsiTheme="minorHAnsi" w:cstheme="minorHAnsi"/>
          <w:b/>
          <w:sz w:val="24"/>
          <w:szCs w:val="24"/>
        </w:rPr>
        <w:t>Applicability:</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r>
    </w:p>
    <w:p w14:paraId="36F71BC1" w14:textId="77777777" w:rsidR="009F6B45" w:rsidRPr="009F6B45" w:rsidRDefault="009F6B45" w:rsidP="009F6B45">
      <w:pPr>
        <w:spacing w:line="360" w:lineRule="auto"/>
        <w:jc w:val="both"/>
        <w:rPr>
          <w:rFonts w:asciiTheme="minorHAnsi" w:hAnsiTheme="minorHAnsi" w:cstheme="minorHAnsi"/>
          <w:sz w:val="24"/>
          <w:szCs w:val="24"/>
        </w:rPr>
      </w:pPr>
    </w:p>
    <w:p w14:paraId="40F08A2A" w14:textId="77777777" w:rsidR="009F6B45" w:rsidRPr="009F6B45" w:rsidRDefault="009F6B45" w:rsidP="009F6B45">
      <w:pPr>
        <w:spacing w:line="360" w:lineRule="auto"/>
        <w:ind w:hanging="720"/>
        <w:jc w:val="both"/>
        <w:rPr>
          <w:rFonts w:asciiTheme="minorHAnsi" w:hAnsiTheme="minorHAnsi" w:cstheme="minorHAnsi"/>
          <w:sz w:val="24"/>
          <w:szCs w:val="24"/>
        </w:rPr>
      </w:pPr>
      <w:r w:rsidRPr="009F6B45">
        <w:rPr>
          <w:rFonts w:asciiTheme="minorHAnsi" w:hAnsiTheme="minorHAnsi" w:cstheme="minorHAnsi"/>
          <w:sz w:val="24"/>
          <w:szCs w:val="24"/>
        </w:rPr>
        <w:t>2.1</w:t>
      </w:r>
      <w:r w:rsidRPr="009F6B45">
        <w:rPr>
          <w:rFonts w:asciiTheme="minorHAnsi" w:hAnsiTheme="minorHAnsi" w:cstheme="minorHAnsi"/>
          <w:sz w:val="24"/>
          <w:szCs w:val="24"/>
        </w:rPr>
        <w:tab/>
        <w:t xml:space="preserve">This internal procedure is applicable to all contemplated retrenchments in respect of all permanent and non-permanent employees employed under </w:t>
      </w:r>
      <w:r w:rsidR="00525DD2" w:rsidRPr="00525DD2">
        <w:rPr>
          <w:rFonts w:ascii="Calibri" w:hAnsi="Calibri" w:cs="Calibri"/>
          <w:bCs/>
          <w:sz w:val="22"/>
          <w:szCs w:val="22"/>
        </w:rPr>
        <w:t>SMSA/</w:t>
      </w:r>
      <w:r>
        <w:rPr>
          <w:rFonts w:asciiTheme="minorHAnsi" w:hAnsiTheme="minorHAnsi" w:cstheme="minorHAnsi"/>
          <w:sz w:val="24"/>
          <w:szCs w:val="24"/>
        </w:rPr>
        <w:t>Namibia Logistics (Pty) Ltd</w:t>
      </w:r>
      <w:r w:rsidRPr="009F6B45">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66F138EF" w14:textId="77777777" w:rsidR="009F6B45" w:rsidRPr="009F6B45" w:rsidRDefault="009F6B45" w:rsidP="009F6B45">
      <w:pPr>
        <w:tabs>
          <w:tab w:val="left" w:pos="0"/>
          <w:tab w:val="left" w:pos="2160"/>
        </w:tabs>
        <w:spacing w:line="360" w:lineRule="auto"/>
        <w:ind w:left="2160" w:hanging="2880"/>
        <w:jc w:val="both"/>
        <w:rPr>
          <w:rFonts w:asciiTheme="minorHAnsi" w:hAnsiTheme="minorHAnsi" w:cstheme="minorHAnsi"/>
          <w:sz w:val="24"/>
          <w:szCs w:val="24"/>
        </w:rPr>
      </w:pPr>
    </w:p>
    <w:p w14:paraId="4F221432" w14:textId="77777777" w:rsidR="009F6B45" w:rsidRPr="009F6B45" w:rsidRDefault="009F6B45" w:rsidP="009F6B45">
      <w:pPr>
        <w:spacing w:line="360" w:lineRule="auto"/>
        <w:ind w:hanging="720"/>
        <w:jc w:val="both"/>
        <w:rPr>
          <w:rFonts w:asciiTheme="minorHAnsi" w:hAnsiTheme="minorHAnsi" w:cstheme="minorHAnsi"/>
          <w:b/>
          <w:sz w:val="24"/>
          <w:szCs w:val="24"/>
        </w:rPr>
      </w:pPr>
      <w:r w:rsidRPr="009F6B45">
        <w:rPr>
          <w:rFonts w:asciiTheme="minorHAnsi" w:hAnsiTheme="minorHAnsi" w:cstheme="minorHAnsi"/>
          <w:b/>
          <w:sz w:val="24"/>
          <w:szCs w:val="24"/>
        </w:rPr>
        <w:t>3.</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r>
      <w:r w:rsidRPr="009F6B45">
        <w:rPr>
          <w:rFonts w:asciiTheme="minorHAnsi" w:hAnsiTheme="minorHAnsi" w:cstheme="minorHAnsi"/>
          <w:b/>
          <w:sz w:val="24"/>
          <w:szCs w:val="24"/>
        </w:rPr>
        <w:t>Procedure:</w:t>
      </w:r>
    </w:p>
    <w:p w14:paraId="696DA72A" w14:textId="77777777" w:rsidR="009F6B45" w:rsidRPr="009F6B45" w:rsidRDefault="009F6B45" w:rsidP="009F6B45">
      <w:pPr>
        <w:spacing w:line="360" w:lineRule="auto"/>
        <w:jc w:val="both"/>
        <w:rPr>
          <w:rFonts w:asciiTheme="minorHAnsi" w:hAnsiTheme="minorHAnsi" w:cstheme="minorHAnsi"/>
          <w:b/>
          <w:sz w:val="24"/>
          <w:szCs w:val="24"/>
        </w:rPr>
      </w:pPr>
    </w:p>
    <w:p w14:paraId="2EB2F0C4" w14:textId="77777777" w:rsidR="009F6B45" w:rsidRPr="009F6B45" w:rsidRDefault="009F6B45" w:rsidP="009F6B45">
      <w:pPr>
        <w:spacing w:line="360" w:lineRule="auto"/>
        <w:ind w:left="1440" w:hanging="1440"/>
        <w:jc w:val="both"/>
        <w:rPr>
          <w:rFonts w:asciiTheme="minorHAnsi" w:hAnsiTheme="minorHAnsi" w:cstheme="minorHAnsi"/>
          <w:sz w:val="24"/>
          <w:szCs w:val="24"/>
        </w:rPr>
      </w:pPr>
      <w:bookmarkStart w:id="0" w:name="_Hlk497301789"/>
      <w:r w:rsidRPr="009F6B45">
        <w:rPr>
          <w:rFonts w:asciiTheme="minorHAnsi" w:hAnsiTheme="minorHAnsi" w:cstheme="minorHAnsi"/>
          <w:sz w:val="24"/>
          <w:szCs w:val="24"/>
          <w:u w:val="single"/>
        </w:rPr>
        <w:t>Step 1:</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The Group HR Department receives a completed Group IR Contemplated Retrenchment Request Form via email or by hand.</w:t>
      </w:r>
    </w:p>
    <w:p w14:paraId="21CB685F"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136FBDD6"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2:</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 xml:space="preserve">The Group HR Department investigates the reason / s of the contemplated retrenchment and any other relevant factor with the relevant subsidiary or business unit and obtains all relevant information. The Group HR Department must establish whether the contemplated retrenchment falls under Section 189 or Section 189A of the Labour Relations Act 66 of 1995. Section 189A(1) sets out under which circumstances a contemplated retrenchment would fall under Section 198A. </w:t>
      </w:r>
      <w:r>
        <w:rPr>
          <w:rFonts w:asciiTheme="minorHAnsi" w:hAnsiTheme="minorHAnsi" w:cstheme="minorHAnsi"/>
          <w:sz w:val="24"/>
          <w:szCs w:val="24"/>
        </w:rPr>
        <w:br/>
      </w:r>
    </w:p>
    <w:p w14:paraId="40D26C7F"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rPr>
        <w:t>3.1</w:t>
      </w:r>
      <w:r w:rsidRPr="009F6B45">
        <w:rPr>
          <w:rFonts w:asciiTheme="minorHAnsi" w:hAnsiTheme="minorHAnsi" w:cstheme="minorHAnsi"/>
          <w:sz w:val="24"/>
          <w:szCs w:val="24"/>
        </w:rPr>
        <w:tab/>
      </w:r>
      <w:r w:rsidRPr="009F6B45">
        <w:rPr>
          <w:rFonts w:asciiTheme="minorHAnsi" w:hAnsiTheme="minorHAnsi" w:cstheme="minorHAnsi"/>
          <w:sz w:val="24"/>
          <w:szCs w:val="24"/>
          <w:u w:val="single"/>
        </w:rPr>
        <w:t>Section 189 procedure:</w:t>
      </w:r>
    </w:p>
    <w:p w14:paraId="63990EFD"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01E0EB5D"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lastRenderedPageBreak/>
        <w:t>Step 3:</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 xml:space="preserve">The Group HR Department, in conjunction with the subsidiary or business unit, discuss measures in place to avoid or minimise the retrenchments, the timing of the dismissals, the selection criteria, severance packages, etc. </w:t>
      </w:r>
    </w:p>
    <w:p w14:paraId="2CB1EE08"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410578EF"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4:</w:t>
      </w:r>
      <w:r w:rsidRPr="009F6B45">
        <w:rPr>
          <w:rFonts w:asciiTheme="minorHAnsi" w:hAnsiTheme="minorHAnsi" w:cstheme="minorHAnsi"/>
          <w:sz w:val="24"/>
          <w:szCs w:val="24"/>
        </w:rPr>
        <w:tab/>
        <w:t xml:space="preserve">The Group HR Department drafts contemplated retrenchment notice / s containing the reason / s for the contemplated retrenchment, possible alternatives to retrenchment, how many employees are affected, the selection criteria, timing of the retrenchments, severance pay, other payments i.e. leave and outstanding wages, other assistance i.e. certificate of service and reference letter, possible re-employment, how many employees have been terminated due to operational requirements in the past 12 months and the affected employees must be invited to propose alternatives as well as the date, time and venue of the first consultation. </w:t>
      </w:r>
    </w:p>
    <w:p w14:paraId="09FD3302"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519A8075"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5:</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At the first contemplated retrenchment consultation, a facilitator is appointed from the Group HR Department to facilitate the contemplated retrenchment consultation between the company, affected employees and their representatives, should they be represented. The main purpose of the contemplated retrenchment consultation is to find alternatives to retrenchment and if same cannot be found, to mitigate the effect of the retrenchment on the employees. Each point listed in the contemplated retrenchment notice must be explained to the employees and be discussed. The company must hold at least four (4) contemplated retrenchment consultations, more if required.</w:t>
      </w:r>
      <w:r>
        <w:rPr>
          <w:rFonts w:asciiTheme="minorHAnsi" w:hAnsiTheme="minorHAnsi" w:cstheme="minorHAnsi"/>
          <w:sz w:val="24"/>
          <w:szCs w:val="24"/>
        </w:rPr>
        <w:br/>
      </w:r>
    </w:p>
    <w:p w14:paraId="2F3EF334"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6:</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The facilitator and the company consider the affected employees’ representations and proposed alternatives and can propose alternatives as well. Should the employee / s make any representations or propose alternatives in writing, the facilitator and / or company should respond to same in writing. Voluntary retrenchment packages may also be discussed and agreed to between the company and the employees.</w:t>
      </w:r>
    </w:p>
    <w:p w14:paraId="1D04DE8B"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5EDA4D5D"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lastRenderedPageBreak/>
        <w:t xml:space="preserve">Step </w:t>
      </w:r>
      <w:r>
        <w:rPr>
          <w:rFonts w:asciiTheme="minorHAnsi" w:hAnsiTheme="minorHAnsi" w:cstheme="minorHAnsi"/>
          <w:sz w:val="24"/>
          <w:szCs w:val="24"/>
          <w:u w:val="single"/>
        </w:rPr>
        <w:t>7</w:t>
      </w:r>
      <w:r w:rsidRPr="009F6B45">
        <w:rPr>
          <w:rFonts w:asciiTheme="minorHAnsi" w:hAnsiTheme="minorHAnsi" w:cstheme="minorHAnsi"/>
          <w:sz w:val="24"/>
          <w:szCs w:val="24"/>
          <w:u w:val="single"/>
        </w:rPr>
        <w:t>:</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 xml:space="preserve">Where reasonable alternatives to retrenchment are found and agreed to, the terms thereof should be captured in an agreement, including the details of the alternative and the timing thereof etc. </w:t>
      </w:r>
    </w:p>
    <w:p w14:paraId="77D6E4F0"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0A19CA92"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 xml:space="preserve">Step </w:t>
      </w:r>
      <w:r>
        <w:rPr>
          <w:rFonts w:asciiTheme="minorHAnsi" w:hAnsiTheme="minorHAnsi" w:cstheme="minorHAnsi"/>
          <w:sz w:val="24"/>
          <w:szCs w:val="24"/>
          <w:u w:val="single"/>
        </w:rPr>
        <w:t>8</w:t>
      </w:r>
      <w:r w:rsidRPr="009F6B45">
        <w:rPr>
          <w:rFonts w:asciiTheme="minorHAnsi" w:hAnsiTheme="minorHAnsi" w:cstheme="minorHAnsi"/>
          <w:sz w:val="24"/>
          <w:szCs w:val="24"/>
          <w:u w:val="single"/>
        </w:rPr>
        <w:t>:</w:t>
      </w:r>
      <w:r w:rsidRPr="009F6B45">
        <w:rPr>
          <w:rFonts w:asciiTheme="minorHAnsi" w:hAnsiTheme="minorHAnsi" w:cstheme="minorHAnsi"/>
          <w:sz w:val="24"/>
          <w:szCs w:val="24"/>
        </w:rPr>
        <w:tab/>
        <w:t xml:space="preserve">Should no reasonable alternatives to the contemplated retrenchment be found, the Group HR Department drafts and issues retrenchment notices to the affected employees indicating at least that there was no reasonable alternative and that the company has no option but to proceed with the contemplated retrenchment, the employees last date of service, what notice will be paid, if not worked, what severance will be paid, when the aforesaid amounts will be paid and what further assistance the company will provide to the employee. </w:t>
      </w:r>
    </w:p>
    <w:p w14:paraId="1A7CEE6D"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45D38598"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 xml:space="preserve">Step </w:t>
      </w:r>
      <w:r>
        <w:rPr>
          <w:rFonts w:asciiTheme="minorHAnsi" w:hAnsiTheme="minorHAnsi" w:cstheme="minorHAnsi"/>
          <w:sz w:val="24"/>
          <w:szCs w:val="24"/>
          <w:u w:val="single"/>
        </w:rPr>
        <w:t>9</w:t>
      </w:r>
      <w:r w:rsidRPr="009F6B45">
        <w:rPr>
          <w:rFonts w:asciiTheme="minorHAnsi" w:hAnsiTheme="minorHAnsi" w:cstheme="minorHAnsi"/>
          <w:sz w:val="24"/>
          <w:szCs w:val="24"/>
          <w:u w:val="single"/>
        </w:rPr>
        <w:t>:</w:t>
      </w:r>
      <w:r w:rsidRPr="009F6B45">
        <w:rPr>
          <w:rFonts w:asciiTheme="minorHAnsi" w:hAnsiTheme="minorHAnsi" w:cstheme="minorHAnsi"/>
          <w:sz w:val="24"/>
          <w:szCs w:val="24"/>
        </w:rPr>
        <w:tab/>
        <w:t xml:space="preserve">The Group HR Department ensures that the agreements and/or retrenchment notice / s are signed and kept in employee/s files. </w:t>
      </w:r>
      <w:bookmarkEnd w:id="0"/>
    </w:p>
    <w:p w14:paraId="5EB8E252"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75CF5647" w14:textId="77777777" w:rsidR="009F6B45" w:rsidRPr="009F6B45" w:rsidRDefault="009F6B45" w:rsidP="009F6B45">
      <w:pPr>
        <w:ind w:left="1440" w:hanging="1440"/>
        <w:rPr>
          <w:rFonts w:asciiTheme="minorHAnsi" w:hAnsiTheme="minorHAnsi" w:cstheme="minorHAnsi"/>
          <w:sz w:val="24"/>
          <w:szCs w:val="24"/>
        </w:rPr>
      </w:pPr>
      <w:r w:rsidRPr="009F6B45">
        <w:rPr>
          <w:rFonts w:asciiTheme="minorHAnsi" w:hAnsiTheme="minorHAnsi" w:cstheme="minorHAnsi"/>
          <w:sz w:val="24"/>
          <w:szCs w:val="24"/>
        </w:rPr>
        <w:t>3.2</w:t>
      </w:r>
      <w:r w:rsidRPr="009F6B45">
        <w:rPr>
          <w:rFonts w:asciiTheme="minorHAnsi" w:hAnsiTheme="minorHAnsi" w:cstheme="minorHAnsi"/>
          <w:sz w:val="24"/>
          <w:szCs w:val="24"/>
        </w:rPr>
        <w:tab/>
      </w:r>
      <w:r w:rsidRPr="009F6B45">
        <w:rPr>
          <w:rFonts w:asciiTheme="minorHAnsi" w:hAnsiTheme="minorHAnsi" w:cstheme="minorHAnsi"/>
          <w:sz w:val="24"/>
          <w:szCs w:val="24"/>
          <w:u w:val="single"/>
        </w:rPr>
        <w:t>Section 189A procedure:</w:t>
      </w:r>
    </w:p>
    <w:p w14:paraId="2E2DD09D" w14:textId="77777777" w:rsidR="009F6B45" w:rsidRPr="009F6B45" w:rsidRDefault="009F6B45" w:rsidP="009F6B45">
      <w:pPr>
        <w:spacing w:line="360" w:lineRule="auto"/>
        <w:ind w:left="1440" w:hanging="1440"/>
        <w:rPr>
          <w:rFonts w:asciiTheme="minorHAnsi" w:hAnsiTheme="minorHAnsi" w:cstheme="minorHAnsi"/>
          <w:b/>
          <w:sz w:val="24"/>
          <w:szCs w:val="24"/>
        </w:rPr>
      </w:pPr>
    </w:p>
    <w:p w14:paraId="2EA8E363"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3:</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The company makes a decision on whether a facilitator from the CCMA in terms of Section 189A(3)(a) should be appointed or not, on advice from the HR Department. Should the company decide that a facilitator should be appointed, same must be included in the contemplated retrenchment notice together with the other factors listed in step 4 above.</w:t>
      </w:r>
    </w:p>
    <w:p w14:paraId="20282A54"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3FEC986E"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4:</w:t>
      </w:r>
      <w:r w:rsidRPr="009F6B45">
        <w:rPr>
          <w:rFonts w:asciiTheme="minorHAnsi" w:hAnsiTheme="minorHAnsi" w:cstheme="minorHAnsi"/>
          <w:sz w:val="24"/>
          <w:szCs w:val="24"/>
        </w:rPr>
        <w:tab/>
        <w:t xml:space="preserve">Should the company decide not to appoint a facilitator, and a party representing the majority of the employees affected by the contemplated retrenchment has not requested that a facilitator from the CCMA be appointed in terms of Section 189(3)(b), Step 5 to Step 10 above is then followed with the added prerequisite that the company may only issue notices of retrenchment (termination) to the affected employees after </w:t>
      </w:r>
      <w:r w:rsidRPr="009F6B45">
        <w:rPr>
          <w:rFonts w:asciiTheme="minorHAnsi" w:hAnsiTheme="minorHAnsi" w:cstheme="minorHAnsi"/>
          <w:sz w:val="24"/>
          <w:szCs w:val="24"/>
        </w:rPr>
        <w:lastRenderedPageBreak/>
        <w:t>thirty (30) days have passed after the issuing of the contemplated retrenchment notice / s.</w:t>
      </w:r>
    </w:p>
    <w:p w14:paraId="72A08B79" w14:textId="77777777" w:rsidR="009F6B45" w:rsidRPr="009F6B45" w:rsidRDefault="009F6B45" w:rsidP="009F6B45">
      <w:pPr>
        <w:spacing w:line="360" w:lineRule="auto"/>
        <w:jc w:val="both"/>
        <w:rPr>
          <w:rFonts w:asciiTheme="minorHAnsi" w:hAnsiTheme="minorHAnsi" w:cstheme="minorHAnsi"/>
          <w:sz w:val="24"/>
          <w:szCs w:val="24"/>
        </w:rPr>
      </w:pPr>
    </w:p>
    <w:p w14:paraId="1413A728"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5:</w:t>
      </w:r>
      <w:r w:rsidRPr="009F6B45">
        <w:rPr>
          <w:rFonts w:asciiTheme="minorHAnsi" w:hAnsiTheme="minorHAnsi" w:cstheme="minorHAnsi"/>
          <w:sz w:val="24"/>
          <w:szCs w:val="24"/>
        </w:rPr>
        <w:tab/>
        <w:t xml:space="preserve">Should the company decide that a facilitator of the CCMA be appointed in terms of Section 189A(3)(a) or a party representing the majority of the employees affected by the contemplated retrenchment requested that a facilitator from the CCMA be appointed in terms of Section 189A(3)(b) a different process to the one described above is followed. </w:t>
      </w:r>
    </w:p>
    <w:p w14:paraId="5100694B"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17D45231"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6:</w:t>
      </w:r>
      <w:r w:rsidRPr="009F6B45">
        <w:rPr>
          <w:rFonts w:asciiTheme="minorHAnsi" w:hAnsiTheme="minorHAnsi" w:cstheme="minorHAnsi"/>
          <w:sz w:val="24"/>
          <w:szCs w:val="24"/>
        </w:rPr>
        <w:tab/>
        <w:t xml:space="preserve">Where facilitation is requested, the Group HR Department will be informed by the CCMA, via email / fax, within seven (7) days after the request of the name of the facilitator and the date of the facilitation.  </w:t>
      </w:r>
    </w:p>
    <w:p w14:paraId="4761E383"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1161FDE5"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7:</w:t>
      </w:r>
      <w:r w:rsidRPr="009F6B45">
        <w:rPr>
          <w:rFonts w:asciiTheme="minorHAnsi" w:hAnsiTheme="minorHAnsi" w:cstheme="minorHAnsi"/>
          <w:sz w:val="24"/>
          <w:szCs w:val="24"/>
        </w:rPr>
        <w:tab/>
        <w:t xml:space="preserve">An employee from the Group HR Department, in conjunction with a representative from the company, attend the facilitation meeting. At the meeting, parties agree on the procedure to follow, the date and time of additional facilitation meetings, and any information that the company may be required to disclose. </w:t>
      </w:r>
    </w:p>
    <w:p w14:paraId="775603D8"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8:</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 xml:space="preserve">Where reasonable alternatives to retrenchment are found and agreed to, the terms thereof should be captured in an agreement, including the details of the alternative and the timing thereof etc. </w:t>
      </w:r>
    </w:p>
    <w:p w14:paraId="39DE6483" w14:textId="77777777" w:rsidR="009F6B45" w:rsidRPr="009F6B45" w:rsidRDefault="009F6B45" w:rsidP="009F6B45">
      <w:pPr>
        <w:spacing w:line="360" w:lineRule="auto"/>
        <w:ind w:left="1440" w:hanging="1440"/>
        <w:jc w:val="both"/>
        <w:rPr>
          <w:rFonts w:asciiTheme="minorHAnsi" w:hAnsiTheme="minorHAnsi" w:cstheme="minorHAnsi"/>
          <w:sz w:val="24"/>
          <w:szCs w:val="24"/>
        </w:rPr>
      </w:pPr>
    </w:p>
    <w:p w14:paraId="23C2D6EC" w14:textId="77777777" w:rsidR="009F6B4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9:</w:t>
      </w:r>
      <w:r w:rsidRPr="009F6B45">
        <w:rPr>
          <w:rFonts w:asciiTheme="minorHAnsi" w:hAnsiTheme="minorHAnsi" w:cstheme="minorHAnsi"/>
          <w:sz w:val="24"/>
          <w:szCs w:val="24"/>
        </w:rPr>
        <w:t xml:space="preserve"> </w:t>
      </w:r>
      <w:r w:rsidRPr="009F6B45">
        <w:rPr>
          <w:rFonts w:asciiTheme="minorHAnsi" w:hAnsiTheme="minorHAnsi" w:cstheme="minorHAnsi"/>
          <w:sz w:val="24"/>
          <w:szCs w:val="24"/>
        </w:rPr>
        <w:tab/>
        <w:t>Should no reasonable alternatives to the contemplated retrenchment be found in the facilitation meetings, the Group HR Department drafts and issues retrenchment notices (terminations) to the affected employees indicating that there was no reasonable alternative to retrenchment and that the company has no option but to proceed with the contemplated retrenchment, the employees last date of service, what notice will be paid if notice is not worked, what severance will be paid, when the aforesaid amounts will be paid and what further assistance the company will provide to the employee.</w:t>
      </w:r>
    </w:p>
    <w:p w14:paraId="04BBF3B4" w14:textId="77777777" w:rsidR="009F6B45" w:rsidRPr="009F6B45" w:rsidRDefault="009F6B45" w:rsidP="009F6B45">
      <w:pPr>
        <w:spacing w:line="360" w:lineRule="auto"/>
        <w:jc w:val="both"/>
        <w:rPr>
          <w:rFonts w:asciiTheme="minorHAnsi" w:hAnsiTheme="minorHAnsi" w:cstheme="minorHAnsi"/>
          <w:sz w:val="24"/>
          <w:szCs w:val="24"/>
        </w:rPr>
      </w:pPr>
    </w:p>
    <w:p w14:paraId="3980FD4F" w14:textId="77777777" w:rsidR="00E112D5" w:rsidRPr="009F6B45" w:rsidRDefault="009F6B45" w:rsidP="009F6B45">
      <w:pPr>
        <w:spacing w:line="360" w:lineRule="auto"/>
        <w:ind w:left="1440" w:hanging="1440"/>
        <w:jc w:val="both"/>
        <w:rPr>
          <w:rFonts w:asciiTheme="minorHAnsi" w:hAnsiTheme="minorHAnsi" w:cstheme="minorHAnsi"/>
          <w:sz w:val="24"/>
          <w:szCs w:val="24"/>
        </w:rPr>
      </w:pPr>
      <w:r w:rsidRPr="009F6B45">
        <w:rPr>
          <w:rFonts w:asciiTheme="minorHAnsi" w:hAnsiTheme="minorHAnsi" w:cstheme="minorHAnsi"/>
          <w:sz w:val="24"/>
          <w:szCs w:val="24"/>
          <w:u w:val="single"/>
        </w:rPr>
        <w:t>Step 10:</w:t>
      </w:r>
      <w:r w:rsidRPr="009F6B45">
        <w:rPr>
          <w:rFonts w:asciiTheme="minorHAnsi" w:hAnsiTheme="minorHAnsi" w:cstheme="minorHAnsi"/>
          <w:sz w:val="24"/>
          <w:szCs w:val="24"/>
        </w:rPr>
        <w:tab/>
        <w:t>The Group HR Department ensures that the agreements and / or retrenchment notices are signed and kept in employee files.</w:t>
      </w:r>
    </w:p>
    <w:sectPr w:rsidR="00E112D5" w:rsidRPr="009F6B45" w:rsidSect="0063059D">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F9FF" w14:textId="77777777" w:rsidR="00C313B8" w:rsidRDefault="00C313B8" w:rsidP="00561FAE">
      <w:r>
        <w:separator/>
      </w:r>
    </w:p>
  </w:endnote>
  <w:endnote w:type="continuationSeparator" w:id="0">
    <w:p w14:paraId="4EC8744E" w14:textId="77777777" w:rsidR="00C313B8" w:rsidRDefault="00C313B8"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37F2" w14:textId="64CB4E17" w:rsidR="0063059D" w:rsidRPr="00666555" w:rsidRDefault="00000000" w:rsidP="008E2C9E">
    <w:pPr>
      <w:pStyle w:val="Footer"/>
    </w:pPr>
    <w:sdt>
      <w:sdtPr>
        <w:rPr>
          <w:rFonts w:asciiTheme="minorHAnsi" w:hAnsiTheme="minorHAnsi" w:cstheme="minorHAnsi"/>
        </w:rPr>
        <w:id w:val="98381352"/>
        <w:docPartObj>
          <w:docPartGallery w:val="Page Numbers (Top of Page)"/>
          <w:docPartUnique/>
        </w:docPartObj>
      </w:sdtPr>
      <w:sdtContent>
        <w:r w:rsidR="0063059D" w:rsidRPr="00855DD0">
          <w:rPr>
            <w:rFonts w:asciiTheme="minorHAnsi" w:hAnsiTheme="minorHAnsi" w:cstheme="minorHAnsi"/>
          </w:rPr>
          <w:t xml:space="preserve">Page </w:t>
        </w:r>
        <w:r w:rsidR="0063059D" w:rsidRPr="00855DD0">
          <w:rPr>
            <w:rFonts w:asciiTheme="minorHAnsi" w:hAnsiTheme="minorHAnsi" w:cstheme="minorHAnsi"/>
            <w:b/>
          </w:rPr>
          <w:fldChar w:fldCharType="begin"/>
        </w:r>
        <w:r w:rsidR="0063059D" w:rsidRPr="00855DD0">
          <w:rPr>
            <w:rFonts w:asciiTheme="minorHAnsi" w:hAnsiTheme="minorHAnsi" w:cstheme="minorHAnsi"/>
            <w:b/>
          </w:rPr>
          <w:instrText xml:space="preserve"> PAGE </w:instrText>
        </w:r>
        <w:r w:rsidR="0063059D" w:rsidRPr="00855DD0">
          <w:rPr>
            <w:rFonts w:asciiTheme="minorHAnsi" w:hAnsiTheme="minorHAnsi" w:cstheme="minorHAnsi"/>
            <w:b/>
          </w:rPr>
          <w:fldChar w:fldCharType="separate"/>
        </w:r>
        <w:r w:rsidR="005643C8">
          <w:rPr>
            <w:rFonts w:asciiTheme="minorHAnsi" w:hAnsiTheme="minorHAnsi" w:cstheme="minorHAnsi"/>
            <w:b/>
            <w:noProof/>
          </w:rPr>
          <w:t>1</w:t>
        </w:r>
        <w:r w:rsidR="0063059D" w:rsidRPr="00855DD0">
          <w:rPr>
            <w:rFonts w:asciiTheme="minorHAnsi" w:hAnsiTheme="minorHAnsi" w:cstheme="minorHAnsi"/>
            <w:b/>
          </w:rPr>
          <w:fldChar w:fldCharType="end"/>
        </w:r>
        <w:r w:rsidR="0063059D" w:rsidRPr="00855DD0">
          <w:rPr>
            <w:rFonts w:asciiTheme="minorHAnsi" w:hAnsiTheme="minorHAnsi" w:cstheme="minorHAnsi"/>
          </w:rPr>
          <w:t xml:space="preserve"> of </w:t>
        </w:r>
        <w:r w:rsidR="0063059D" w:rsidRPr="00855DD0">
          <w:rPr>
            <w:rFonts w:asciiTheme="minorHAnsi" w:hAnsiTheme="minorHAnsi" w:cstheme="minorHAnsi"/>
            <w:b/>
          </w:rPr>
          <w:fldChar w:fldCharType="begin"/>
        </w:r>
        <w:r w:rsidR="0063059D" w:rsidRPr="00855DD0">
          <w:rPr>
            <w:rFonts w:asciiTheme="minorHAnsi" w:hAnsiTheme="minorHAnsi" w:cstheme="minorHAnsi"/>
            <w:b/>
          </w:rPr>
          <w:instrText xml:space="preserve"> NUMPAGES  </w:instrText>
        </w:r>
        <w:r w:rsidR="0063059D" w:rsidRPr="00855DD0">
          <w:rPr>
            <w:rFonts w:asciiTheme="minorHAnsi" w:hAnsiTheme="minorHAnsi" w:cstheme="minorHAnsi"/>
            <w:b/>
          </w:rPr>
          <w:fldChar w:fldCharType="separate"/>
        </w:r>
        <w:r w:rsidR="005643C8">
          <w:rPr>
            <w:rFonts w:asciiTheme="minorHAnsi" w:hAnsiTheme="minorHAnsi" w:cstheme="minorHAnsi"/>
            <w:b/>
            <w:noProof/>
          </w:rPr>
          <w:t>5</w:t>
        </w:r>
        <w:r w:rsidR="0063059D" w:rsidRPr="00855DD0">
          <w:rPr>
            <w:rFonts w:asciiTheme="minorHAnsi" w:hAnsiTheme="minorHAnsi" w:cstheme="minorHAnsi"/>
            <w:b/>
          </w:rPr>
          <w:fldChar w:fldCharType="end"/>
        </w:r>
      </w:sdtContent>
    </w:sdt>
    <w:r w:rsidR="0063059D" w:rsidRPr="00855DD0">
      <w:rPr>
        <w:rFonts w:asciiTheme="minorHAnsi" w:hAnsiTheme="minorHAnsi" w:cstheme="minorHAnsi"/>
      </w:rPr>
      <w:ptab w:relativeTo="margin" w:alignment="center" w:leader="none"/>
    </w:r>
    <w:r w:rsidR="0063059D" w:rsidRPr="00855DD0">
      <w:rPr>
        <w:rFonts w:asciiTheme="minorHAnsi" w:hAnsiTheme="minorHAnsi" w:cstheme="minorHAnsi"/>
      </w:rPr>
      <w:t>Uncontrolled copy if printed</w:t>
    </w:r>
    <w:r w:rsidR="0063059D" w:rsidRPr="00855DD0">
      <w:rPr>
        <w:rFonts w:asciiTheme="minorHAnsi" w:hAnsiTheme="minorHAnsi" w:cstheme="minorHAnsi"/>
      </w:rPr>
      <w:ptab w:relativeTo="margin" w:alignment="right" w:leader="none"/>
    </w:r>
  </w:p>
  <w:p w14:paraId="374B2365" w14:textId="77777777" w:rsidR="0063059D" w:rsidRDefault="00630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8F4F" w14:textId="77777777" w:rsidR="00C313B8" w:rsidRDefault="00C313B8" w:rsidP="00561FAE">
      <w:r>
        <w:separator/>
      </w:r>
    </w:p>
  </w:footnote>
  <w:footnote w:type="continuationSeparator" w:id="0">
    <w:p w14:paraId="51247786" w14:textId="77777777" w:rsidR="00C313B8" w:rsidRDefault="00C313B8"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D9AB" w14:textId="77777777" w:rsidR="0063059D" w:rsidRPr="0063059D" w:rsidRDefault="0063059D" w:rsidP="0063059D">
    <w:pPr>
      <w:pStyle w:val="Header"/>
      <w:jc w:val="right"/>
      <w:rPr>
        <w:rFonts w:ascii="Calibri" w:hAnsi="Calibri" w:cs="Calibri"/>
        <w:b/>
        <w:bCs/>
        <w:sz w:val="32"/>
        <w:szCs w:val="32"/>
      </w:rPr>
    </w:pPr>
    <w:r w:rsidRPr="00666555">
      <w:rPr>
        <w:rFonts w:ascii="Calibri" w:hAnsi="Calibri" w:cs="Calibri"/>
        <w:b/>
        <w:bCs/>
        <w:noProof/>
        <w:sz w:val="32"/>
        <w:szCs w:val="32"/>
      </w:rPr>
      <w:drawing>
        <wp:anchor distT="0" distB="0" distL="114300" distR="114300" simplePos="0" relativeHeight="251659264" behindDoc="1" locked="0" layoutInCell="1" allowOverlap="1" wp14:anchorId="4BA9660E" wp14:editId="3CBCF1DD">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r w:rsidRPr="0063059D">
      <w:rPr>
        <w:rFonts w:ascii="Calibri" w:hAnsi="Calibri" w:cs="Calibri"/>
        <w:b/>
        <w:bCs/>
        <w:sz w:val="32"/>
        <w:szCs w:val="32"/>
      </w:rPr>
      <w:t xml:space="preserve"> Retrenchments</w:t>
    </w:r>
  </w:p>
  <w:p w14:paraId="0B63326A" w14:textId="77777777" w:rsidR="0063059D" w:rsidRDefault="0063059D" w:rsidP="0063059D">
    <w:pPr>
      <w:jc w:val="right"/>
      <w:rPr>
        <w:rFonts w:ascii="Calibri" w:hAnsi="Calibri" w:cs="Calibri"/>
        <w:sz w:val="24"/>
        <w:szCs w:val="24"/>
      </w:rPr>
    </w:pPr>
    <w:r w:rsidRPr="00666555">
      <w:rPr>
        <w:rFonts w:ascii="Calibri" w:hAnsi="Calibri" w:cs="Calibri"/>
        <w:sz w:val="24"/>
        <w:szCs w:val="24"/>
      </w:rPr>
      <w:t>Standard Operating Procedure</w:t>
    </w:r>
  </w:p>
  <w:p w14:paraId="7791D64F" w14:textId="77777777" w:rsidR="0063059D" w:rsidRPr="009860B6" w:rsidRDefault="0063059D" w:rsidP="0063059D">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BD14868_"/>
      </v:shape>
    </w:pict>
  </w:numPicBullet>
  <w:numPicBullet w:numPicBulletId="1">
    <w:pict>
      <v:shape id="_x0000_i1035" type="#_x0000_t75" style="width:10.5pt;height:10.5pt" o:bullet="t">
        <v:imagedata r:id="rId2" o:title="BD21294_"/>
      </v:shape>
    </w:pict>
  </w:numPicBullet>
  <w:numPicBullet w:numPicBulletId="2">
    <w:pict>
      <v:shape id="_x0000_i1036" type="#_x0000_t75" style="width:10.5pt;height:10.5pt" o:bullet="t">
        <v:imagedata r:id="rId3" o:title="BD21519_"/>
      </v:shape>
    </w:pict>
  </w:numPicBullet>
  <w:numPicBullet w:numPicBulletId="3">
    <w:pict>
      <v:shape id="_x0000_i1037"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2D736201"/>
    <w:multiLevelType w:val="multilevel"/>
    <w:tmpl w:val="35C67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3"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5"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8"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9"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0"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1A1452F"/>
    <w:multiLevelType w:val="multilevel"/>
    <w:tmpl w:val="9694337C"/>
    <w:lvl w:ilvl="0">
      <w:start w:val="2"/>
      <w:numFmt w:val="decimal"/>
      <w:lvlText w:val="%1."/>
      <w:lvlJc w:val="left"/>
      <w:pPr>
        <w:ind w:left="5445" w:hanging="405"/>
      </w:pPr>
      <w:rPr>
        <w:rFonts w:hint="default"/>
        <w:b/>
      </w:rPr>
    </w:lvl>
    <w:lvl w:ilvl="1">
      <w:start w:val="1"/>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2"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4"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7"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1"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3"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7"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194900287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747964382">
    <w:abstractNumId w:val="43"/>
  </w:num>
  <w:num w:numId="3" w16cid:durableId="1002902030">
    <w:abstractNumId w:val="15"/>
  </w:num>
  <w:num w:numId="4" w16cid:durableId="2080054341">
    <w:abstractNumId w:val="4"/>
  </w:num>
  <w:num w:numId="5" w16cid:durableId="124928217">
    <w:abstractNumId w:val="36"/>
  </w:num>
  <w:num w:numId="6" w16cid:durableId="1410350725">
    <w:abstractNumId w:val="10"/>
  </w:num>
  <w:num w:numId="7" w16cid:durableId="1938755004">
    <w:abstractNumId w:val="25"/>
  </w:num>
  <w:num w:numId="8" w16cid:durableId="93592481">
    <w:abstractNumId w:val="45"/>
  </w:num>
  <w:num w:numId="9" w16cid:durableId="1856186850">
    <w:abstractNumId w:val="27"/>
  </w:num>
  <w:num w:numId="10" w16cid:durableId="483856919">
    <w:abstractNumId w:val="5"/>
  </w:num>
  <w:num w:numId="11" w16cid:durableId="73938137">
    <w:abstractNumId w:val="19"/>
  </w:num>
  <w:num w:numId="12" w16cid:durableId="2044790658">
    <w:abstractNumId w:val="46"/>
  </w:num>
  <w:num w:numId="13" w16cid:durableId="1267300471">
    <w:abstractNumId w:val="6"/>
  </w:num>
  <w:num w:numId="14" w16cid:durableId="1955207163">
    <w:abstractNumId w:val="35"/>
  </w:num>
  <w:num w:numId="15" w16cid:durableId="358547822">
    <w:abstractNumId w:val="16"/>
  </w:num>
  <w:num w:numId="16" w16cid:durableId="2139033545">
    <w:abstractNumId w:val="32"/>
  </w:num>
  <w:num w:numId="17" w16cid:durableId="690182612">
    <w:abstractNumId w:val="3"/>
  </w:num>
  <w:num w:numId="18" w16cid:durableId="607782415">
    <w:abstractNumId w:val="7"/>
  </w:num>
  <w:num w:numId="19" w16cid:durableId="1279335486">
    <w:abstractNumId w:val="14"/>
  </w:num>
  <w:num w:numId="20" w16cid:durableId="490221422">
    <w:abstractNumId w:val="8"/>
  </w:num>
  <w:num w:numId="21" w16cid:durableId="1730958705">
    <w:abstractNumId w:val="24"/>
  </w:num>
  <w:num w:numId="22" w16cid:durableId="150216453">
    <w:abstractNumId w:val="34"/>
  </w:num>
  <w:num w:numId="23" w16cid:durableId="563105264">
    <w:abstractNumId w:val="13"/>
  </w:num>
  <w:num w:numId="24" w16cid:durableId="1900045585">
    <w:abstractNumId w:val="37"/>
  </w:num>
  <w:num w:numId="25" w16cid:durableId="2104689135">
    <w:abstractNumId w:val="38"/>
  </w:num>
  <w:num w:numId="26" w16cid:durableId="2049406525">
    <w:abstractNumId w:val="44"/>
  </w:num>
  <w:num w:numId="27" w16cid:durableId="669213574">
    <w:abstractNumId w:val="23"/>
  </w:num>
  <w:num w:numId="28" w16cid:durableId="2101562210">
    <w:abstractNumId w:val="18"/>
  </w:num>
  <w:num w:numId="29" w16cid:durableId="1856772051">
    <w:abstractNumId w:val="2"/>
  </w:num>
  <w:num w:numId="30" w16cid:durableId="1566795296">
    <w:abstractNumId w:val="47"/>
  </w:num>
  <w:num w:numId="31" w16cid:durableId="1053113348">
    <w:abstractNumId w:val="9"/>
  </w:num>
  <w:num w:numId="32" w16cid:durableId="2076853061">
    <w:abstractNumId w:val="30"/>
  </w:num>
  <w:num w:numId="33" w16cid:durableId="115565420">
    <w:abstractNumId w:val="17"/>
  </w:num>
  <w:num w:numId="34" w16cid:durableId="2072649833">
    <w:abstractNumId w:val="41"/>
  </w:num>
  <w:num w:numId="35" w16cid:durableId="970786710">
    <w:abstractNumId w:val="12"/>
  </w:num>
  <w:num w:numId="36" w16cid:durableId="1428959742">
    <w:abstractNumId w:val="26"/>
  </w:num>
  <w:num w:numId="37" w16cid:durableId="474684191">
    <w:abstractNumId w:val="11"/>
  </w:num>
  <w:num w:numId="38" w16cid:durableId="1259603145">
    <w:abstractNumId w:val="33"/>
  </w:num>
  <w:num w:numId="39" w16cid:durableId="1405182720">
    <w:abstractNumId w:val="29"/>
  </w:num>
  <w:num w:numId="40" w16cid:durableId="219371264">
    <w:abstractNumId w:val="40"/>
  </w:num>
  <w:num w:numId="41" w16cid:durableId="2026710187">
    <w:abstractNumId w:val="1"/>
  </w:num>
  <w:num w:numId="42" w16cid:durableId="709573476">
    <w:abstractNumId w:val="42"/>
  </w:num>
  <w:num w:numId="43" w16cid:durableId="1279409245">
    <w:abstractNumId w:val="39"/>
  </w:num>
  <w:num w:numId="44" w16cid:durableId="258559872">
    <w:abstractNumId w:val="21"/>
  </w:num>
  <w:num w:numId="45" w16cid:durableId="2142262576">
    <w:abstractNumId w:val="22"/>
  </w:num>
  <w:num w:numId="46" w16cid:durableId="1111163327">
    <w:abstractNumId w:val="28"/>
  </w:num>
  <w:num w:numId="47" w16cid:durableId="104931857">
    <w:abstractNumId w:val="20"/>
  </w:num>
  <w:num w:numId="48" w16cid:durableId="1936085216">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69F"/>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A8E"/>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07C"/>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12F"/>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4E38"/>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BDD"/>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5271"/>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21F"/>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5FC9"/>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5DD2"/>
    <w:rsid w:val="005265CB"/>
    <w:rsid w:val="00526F49"/>
    <w:rsid w:val="00527442"/>
    <w:rsid w:val="00527B86"/>
    <w:rsid w:val="00530082"/>
    <w:rsid w:val="00530186"/>
    <w:rsid w:val="005304B1"/>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4C1"/>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5C"/>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3C8"/>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3A1"/>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4D3D"/>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59D"/>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1FF6"/>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1A7"/>
    <w:rsid w:val="00761592"/>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1ED"/>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36D"/>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2C9E"/>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5CC"/>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4CF"/>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500"/>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989"/>
    <w:rsid w:val="009C0A42"/>
    <w:rsid w:val="009C1197"/>
    <w:rsid w:val="009C1562"/>
    <w:rsid w:val="009C26B0"/>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6B45"/>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0A"/>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3C12"/>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0F8D"/>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196"/>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0E86"/>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13B8"/>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C6FF9"/>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BD9"/>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2DCF"/>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0BE2"/>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8B0"/>
    <w:rsid w:val="00EB3928"/>
    <w:rsid w:val="00EB3BB9"/>
    <w:rsid w:val="00EB4C93"/>
    <w:rsid w:val="00EB4F4A"/>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0F8"/>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57F38"/>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31BEF"/>
  <w15:docId w15:val="{195D189F-C3C2-434F-82FD-FAA2639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744E0-4A80-43C3-A68B-B676FB80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3</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6719</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2022-03-27T06:07:00Z</cp:lastPrinted>
  <dcterms:created xsi:type="dcterms:W3CDTF">2023-02-23T10:26:00Z</dcterms:created>
  <dcterms:modified xsi:type="dcterms:W3CDTF">2025-09-03T09:24:00Z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