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DD34" w14:textId="77777777" w:rsidR="00E935DD" w:rsidRDefault="00E935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E935DD" w14:paraId="064D249D" w14:textId="77777777">
        <w:trPr>
          <w:jc w:val="center"/>
        </w:trPr>
        <w:tc>
          <w:tcPr>
            <w:tcW w:w="1980" w:type="dxa"/>
          </w:tcPr>
          <w:p w14:paraId="36D71452" w14:textId="77777777" w:rsidR="00E935DD" w:rsidRDefault="00E57E53" w:rsidP="00A30C00">
            <w:pPr>
              <w:spacing w:before="120" w:after="120"/>
              <w:ind w:hanging="3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SOP Brief</w:t>
            </w:r>
          </w:p>
        </w:tc>
        <w:tc>
          <w:tcPr>
            <w:tcW w:w="8640" w:type="dxa"/>
          </w:tcPr>
          <w:p w14:paraId="74334E26" w14:textId="77777777" w:rsidR="00E935DD" w:rsidRDefault="00E57E53">
            <w:pPr>
              <w:spacing w:before="120" w:after="120"/>
              <w:ind w:left="259"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SMSA Express Transportation requires that all Special Delivery Service shipments are handled properly as per the Department Standard Operating Procedures (SOP). </w:t>
            </w:r>
          </w:p>
          <w:p w14:paraId="6F4A0921" w14:textId="77777777" w:rsidR="00E935DD" w:rsidRDefault="00E57E53">
            <w:pPr>
              <w:spacing w:before="120" w:after="120"/>
              <w:ind w:left="259"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is a general SOP prepared for the employees understanding of daily activities.</w:t>
            </w:r>
          </w:p>
        </w:tc>
      </w:tr>
      <w:tr w:rsidR="00E935DD" w14:paraId="4E894F29" w14:textId="77777777">
        <w:trPr>
          <w:jc w:val="center"/>
        </w:trPr>
        <w:tc>
          <w:tcPr>
            <w:tcW w:w="1980" w:type="dxa"/>
          </w:tcPr>
          <w:p w14:paraId="5882449F" w14:textId="77777777" w:rsidR="00E935DD" w:rsidRDefault="00E57E53" w:rsidP="00A30C00">
            <w:pPr>
              <w:tabs>
                <w:tab w:val="left" w:pos="360"/>
                <w:tab w:val="left" w:pos="530"/>
              </w:tabs>
              <w:spacing w:before="120" w:after="120"/>
              <w:ind w:hanging="3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Purpose</w:t>
            </w:r>
          </w:p>
        </w:tc>
        <w:tc>
          <w:tcPr>
            <w:tcW w:w="8640" w:type="dxa"/>
            <w:vAlign w:val="bottom"/>
          </w:tcPr>
          <w:p w14:paraId="188F5A56" w14:textId="77777777" w:rsidR="00E935DD" w:rsidRDefault="00E57E53">
            <w:pPr>
              <w:widowControl w:val="0"/>
              <w:spacing w:before="120" w:after="120"/>
              <w:ind w:left="259" w:right="259"/>
              <w:jc w:val="both"/>
            </w:pPr>
            <w:r>
              <w:rPr>
                <w:rFonts w:ascii="Calibri" w:eastAsia="Calibri" w:hAnsi="Calibri" w:cs="Calibri"/>
              </w:rPr>
              <w:t xml:space="preserve">To provide SMSA employees an understanding on the Special Delivery policies, Special Delivery Manager (SDM) system and special shipments handling procedures. </w:t>
            </w:r>
          </w:p>
        </w:tc>
      </w:tr>
      <w:tr w:rsidR="00E935DD" w14:paraId="4AF658A2" w14:textId="77777777">
        <w:trPr>
          <w:jc w:val="center"/>
        </w:trPr>
        <w:tc>
          <w:tcPr>
            <w:tcW w:w="1980" w:type="dxa"/>
            <w:shd w:val="clear" w:color="auto" w:fill="auto"/>
          </w:tcPr>
          <w:p w14:paraId="04AEC166" w14:textId="77777777" w:rsidR="00E935DD" w:rsidRDefault="00E57E53" w:rsidP="00A30C00">
            <w:pPr>
              <w:spacing w:before="120" w:after="120"/>
              <w:ind w:left="150" w:hanging="3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General</w:t>
            </w:r>
          </w:p>
        </w:tc>
        <w:tc>
          <w:tcPr>
            <w:tcW w:w="8640" w:type="dxa"/>
            <w:vAlign w:val="center"/>
          </w:tcPr>
          <w:p w14:paraId="3F3E0FF1" w14:textId="165A36A5" w:rsidR="00237EB4" w:rsidRDefault="00E57E53" w:rsidP="00237EB4">
            <w:pPr>
              <w:widowControl w:val="0"/>
              <w:spacing w:before="12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SDC Projects have different SOP to be followed. SDC Staff shall ensure complying with all service levels agreed with SMSA SDC C</w:t>
            </w:r>
            <w:r w:rsidR="008C6C10">
              <w:rPr>
                <w:rFonts w:ascii="Calibri" w:eastAsia="Calibri" w:hAnsi="Calibri" w:cs="Calibri"/>
                <w:b/>
              </w:rPr>
              <w:t>lients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E935DD" w14:paraId="22E12F80" w14:textId="77777777">
        <w:trPr>
          <w:jc w:val="center"/>
        </w:trPr>
        <w:tc>
          <w:tcPr>
            <w:tcW w:w="1980" w:type="dxa"/>
          </w:tcPr>
          <w:p w14:paraId="67B30EA6" w14:textId="77777777" w:rsidR="00E935DD" w:rsidRDefault="00E57E53" w:rsidP="00A30C00">
            <w:pPr>
              <w:spacing w:before="120" w:after="120"/>
              <w:ind w:hanging="3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Responsibilities</w:t>
            </w:r>
          </w:p>
        </w:tc>
        <w:tc>
          <w:tcPr>
            <w:tcW w:w="8640" w:type="dxa"/>
            <w:vAlign w:val="bottom"/>
          </w:tcPr>
          <w:p w14:paraId="5B45E14D" w14:textId="311EA309" w:rsidR="00E935DD" w:rsidRDefault="00E57E53">
            <w:pPr>
              <w:widowControl w:val="0"/>
              <w:spacing w:before="120" w:after="120"/>
              <w:ind w:left="259"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SOP applies to all staff involved from</w:t>
            </w:r>
            <w:r w:rsidR="00A30C00">
              <w:rPr>
                <w:rFonts w:ascii="Calibri" w:eastAsia="Calibri" w:hAnsi="Calibri" w:cs="Calibri"/>
              </w:rPr>
              <w:t xml:space="preserve"> Special Delivery</w:t>
            </w:r>
            <w:r>
              <w:rPr>
                <w:rFonts w:ascii="Calibri" w:eastAsia="Calibri" w:hAnsi="Calibri" w:cs="Calibri"/>
              </w:rPr>
              <w:t xml:space="preserve"> Operations, Customer Service and </w:t>
            </w:r>
            <w:r w:rsidR="00A30C00">
              <w:rPr>
                <w:rFonts w:ascii="Calibri" w:eastAsia="Calibri" w:hAnsi="Calibri" w:cs="Calibri"/>
              </w:rPr>
              <w:t>other d</w:t>
            </w:r>
            <w:r>
              <w:rPr>
                <w:rFonts w:ascii="Calibri" w:eastAsia="Calibri" w:hAnsi="Calibri" w:cs="Calibri"/>
              </w:rPr>
              <w:t>epartments.</w:t>
            </w:r>
          </w:p>
        </w:tc>
      </w:tr>
      <w:tr w:rsidR="00E935DD" w14:paraId="066B5AD6" w14:textId="77777777">
        <w:trPr>
          <w:jc w:val="center"/>
        </w:trPr>
        <w:tc>
          <w:tcPr>
            <w:tcW w:w="1980" w:type="dxa"/>
          </w:tcPr>
          <w:p w14:paraId="33E803E3" w14:textId="77777777" w:rsidR="00E935DD" w:rsidRDefault="00E57E53" w:rsidP="00A30C00">
            <w:pPr>
              <w:spacing w:before="120" w:after="120"/>
              <w:ind w:hanging="3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Projects Types</w:t>
            </w:r>
          </w:p>
        </w:tc>
        <w:tc>
          <w:tcPr>
            <w:tcW w:w="8640" w:type="dxa"/>
          </w:tcPr>
          <w:p w14:paraId="66E9F2C1" w14:textId="065B8E6E" w:rsidR="00E935DD" w:rsidRDefault="00E57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25"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Whether the </w:t>
            </w:r>
            <w:r>
              <w:rPr>
                <w:rFonts w:ascii="Calibri" w:eastAsia="Calibri" w:hAnsi="Calibri" w:cs="Calibri"/>
                <w:b/>
              </w:rPr>
              <w:t>Know your Customer (KYC) verification</w:t>
            </w:r>
            <w:r>
              <w:rPr>
                <w:rFonts w:ascii="Calibri" w:eastAsia="Calibri" w:hAnsi="Calibri" w:cs="Calibri"/>
              </w:rPr>
              <w:t xml:space="preserve"> is requested by SMSA SDC C</w:t>
            </w:r>
            <w:r w:rsidR="008C6C10">
              <w:rPr>
                <w:rFonts w:ascii="Calibri" w:eastAsia="Calibri" w:hAnsi="Calibri" w:cs="Calibri"/>
              </w:rPr>
              <w:t>lient</w:t>
            </w:r>
            <w:r>
              <w:rPr>
                <w:rFonts w:ascii="Calibri" w:eastAsia="Calibri" w:hAnsi="Calibri" w:cs="Calibri"/>
              </w:rPr>
              <w:t xml:space="preserve"> or not, below criteria shall be discussed with them before project testing, IT integration &amp; </w:t>
            </w:r>
            <w:r w:rsidR="009269D7">
              <w:rPr>
                <w:rFonts w:ascii="Calibri" w:eastAsia="Calibri" w:hAnsi="Calibri" w:cs="Calibri"/>
              </w:rPr>
              <w:t>etc.;</w:t>
            </w:r>
          </w:p>
          <w:p w14:paraId="3812C768" w14:textId="575BA3E7" w:rsidR="00E935DD" w:rsidRDefault="00E57E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KYC Verification </w:t>
            </w:r>
            <w:r w:rsidR="00A30C00"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</w:rPr>
              <w:t xml:space="preserve">eatures: </w:t>
            </w:r>
            <w:r>
              <w:rPr>
                <w:rFonts w:ascii="Calibri" w:eastAsia="Calibri" w:hAnsi="Calibri" w:cs="Calibri"/>
              </w:rPr>
              <w:t>Signature, fingerprint, Emirates ID &amp; OTP.</w:t>
            </w:r>
          </w:p>
          <w:p w14:paraId="4378ACD5" w14:textId="77777777" w:rsidR="00E935DD" w:rsidRDefault="00E57E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Address </w:t>
            </w:r>
            <w:r>
              <w:rPr>
                <w:rFonts w:ascii="Calibri" w:eastAsia="Calibri" w:hAnsi="Calibri" w:cs="Calibri"/>
                <w:b/>
                <w:color w:val="000000"/>
              </w:rPr>
              <w:t>Validated Projects: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Shipments will be received with clear validated addresses and shall be delivered to the consignees based on their availability &amp; successful KYC verification. </w:t>
            </w:r>
          </w:p>
          <w:p w14:paraId="078B4F3C" w14:textId="17F24D7D" w:rsidR="00E935DD" w:rsidRDefault="00E57E53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Address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Non-Validated Projects: </w:t>
            </w:r>
            <w:r>
              <w:rPr>
                <w:rFonts w:ascii="Calibri" w:eastAsia="Calibri" w:hAnsi="Calibri" w:cs="Calibri"/>
              </w:rPr>
              <w:t>Shipments will be received from SMSA</w:t>
            </w:r>
            <w:r w:rsidR="00465C6E">
              <w:rPr>
                <w:rFonts w:ascii="Calibri" w:eastAsia="Calibri" w:hAnsi="Calibri" w:cs="Calibri"/>
              </w:rPr>
              <w:t xml:space="preserve"> SDC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C6C10">
              <w:rPr>
                <w:rFonts w:ascii="Calibri" w:eastAsia="Calibri" w:hAnsi="Calibri" w:cs="Calibri"/>
              </w:rPr>
              <w:t>clients</w:t>
            </w:r>
            <w:r>
              <w:rPr>
                <w:rFonts w:ascii="Calibri" w:eastAsia="Calibri" w:hAnsi="Calibri" w:cs="Calibri"/>
              </w:rPr>
              <w:t xml:space="preserve"> with</w:t>
            </w:r>
            <w:r w:rsidR="00465C6E">
              <w:rPr>
                <w:rFonts w:ascii="Calibri" w:eastAsia="Calibri" w:hAnsi="Calibri" w:cs="Calibri"/>
              </w:rPr>
              <w:t xml:space="preserve">/ without clear </w:t>
            </w:r>
            <w:r>
              <w:rPr>
                <w:rFonts w:ascii="Calibri" w:eastAsia="Calibri" w:hAnsi="Calibri" w:cs="Calibri"/>
              </w:rPr>
              <w:t>address</w:t>
            </w:r>
            <w:r w:rsidR="00465C6E"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</w:rPr>
              <w:t xml:space="preserve"> and the respective SDC Customer Service staff shall get in touch with the consignees over phone to</w:t>
            </w:r>
            <w:r w:rsidR="00B238D5">
              <w:rPr>
                <w:rFonts w:ascii="Calibri" w:eastAsia="Calibri" w:hAnsi="Calibri" w:cs="Calibri"/>
              </w:rPr>
              <w:t xml:space="preserve"> confirm and</w:t>
            </w:r>
            <w:r>
              <w:rPr>
                <w:rFonts w:ascii="Calibri" w:eastAsia="Calibri" w:hAnsi="Calibri" w:cs="Calibri"/>
              </w:rPr>
              <w:t xml:space="preserve"> get their exact address for delivery &amp; successful KYC verification. SMSA also offers address validation </w:t>
            </w:r>
            <w:r w:rsidR="008C6C10">
              <w:rPr>
                <w:rFonts w:ascii="Calibri" w:eastAsia="Calibri" w:hAnsi="Calibri" w:cs="Calibri"/>
              </w:rPr>
              <w:t xml:space="preserve">options </w:t>
            </w:r>
            <w:r>
              <w:rPr>
                <w:rFonts w:ascii="Calibri" w:eastAsia="Calibri" w:hAnsi="Calibri" w:cs="Calibri"/>
              </w:rPr>
              <w:t xml:space="preserve">through </w:t>
            </w:r>
            <w:r w:rsidR="00465C6E">
              <w:rPr>
                <w:rFonts w:ascii="Calibri" w:eastAsia="Calibri" w:hAnsi="Calibri" w:cs="Calibri"/>
              </w:rPr>
              <w:t xml:space="preserve">Smart Communication (SMS or </w:t>
            </w:r>
            <w:r w:rsidR="009269D7">
              <w:rPr>
                <w:rFonts w:ascii="Calibri" w:eastAsia="Calibri" w:hAnsi="Calibri" w:cs="Calibri"/>
              </w:rPr>
              <w:t>WhatsApp</w:t>
            </w:r>
            <w:r w:rsidR="00465C6E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 xml:space="preserve"> if requested. </w:t>
            </w:r>
          </w:p>
        </w:tc>
      </w:tr>
      <w:tr w:rsidR="00E935DD" w14:paraId="3A7A1ECB" w14:textId="77777777">
        <w:trPr>
          <w:jc w:val="center"/>
        </w:trPr>
        <w:tc>
          <w:tcPr>
            <w:tcW w:w="1980" w:type="dxa"/>
            <w:shd w:val="clear" w:color="auto" w:fill="auto"/>
          </w:tcPr>
          <w:p w14:paraId="5F887365" w14:textId="77777777" w:rsidR="00E935DD" w:rsidRDefault="00E57E53" w:rsidP="00A30C00">
            <w:pPr>
              <w:spacing w:before="120" w:after="120"/>
              <w:ind w:left="-30" w:hanging="3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Customer Service</w:t>
            </w:r>
          </w:p>
          <w:p w14:paraId="10BFD79D" w14:textId="77777777" w:rsidR="00E935DD" w:rsidRDefault="00E57E53" w:rsidP="00A30C00">
            <w:pPr>
              <w:spacing w:before="120" w:after="120"/>
              <w:ind w:left="342" w:hanging="30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Guidelines</w:t>
            </w:r>
          </w:p>
        </w:tc>
        <w:tc>
          <w:tcPr>
            <w:tcW w:w="8640" w:type="dxa"/>
          </w:tcPr>
          <w:p w14:paraId="2ABF676C" w14:textId="77777777" w:rsidR="00E935DD" w:rsidRDefault="00E57E53">
            <w:pPr>
              <w:widowControl w:val="0"/>
              <w:spacing w:before="12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Validation Process: </w:t>
            </w:r>
          </w:p>
          <w:p w14:paraId="0BEF555B" w14:textId="5479FD49" w:rsidR="00E935DD" w:rsidRDefault="00E57E53">
            <w:pPr>
              <w:widowControl w:val="0"/>
              <w:numPr>
                <w:ilvl w:val="0"/>
                <w:numId w:val="5"/>
              </w:numP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SMSA CS Executive shall contact the </w:t>
            </w:r>
            <w:r w:rsidR="00A30C00">
              <w:rPr>
                <w:rFonts w:ascii="Calibri" w:eastAsia="Calibri" w:hAnsi="Calibri" w:cs="Calibri"/>
              </w:rPr>
              <w:t>consignee</w:t>
            </w:r>
            <w:r>
              <w:rPr>
                <w:rFonts w:ascii="Calibri" w:eastAsia="Calibri" w:hAnsi="Calibri" w:cs="Calibri"/>
              </w:rPr>
              <w:t xml:space="preserve"> for Address validation.</w:t>
            </w:r>
          </w:p>
          <w:p w14:paraId="77AA4398" w14:textId="1F179980" w:rsidR="00E935DD" w:rsidRDefault="00E57E53">
            <w:pPr>
              <w:widowControl w:val="0"/>
              <w:numPr>
                <w:ilvl w:val="0"/>
                <w:numId w:val="5"/>
              </w:numP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a consignee responded on the first call attempt, the courier shall proceed for last mile delivery. If failed to reach the consignee or if the</w:t>
            </w:r>
            <w:r w:rsidR="00237EB4"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</w:rPr>
              <w:t xml:space="preserve"> rejected to validate the address, further actions shall be advised as per agreement with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.  </w:t>
            </w:r>
          </w:p>
          <w:p w14:paraId="59F01F9E" w14:textId="10B55FAF" w:rsidR="00E935DD" w:rsidRDefault="00E57E53">
            <w:pPr>
              <w:widowControl w:val="0"/>
              <w:numPr>
                <w:ilvl w:val="0"/>
                <w:numId w:val="5"/>
              </w:numP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Standard SMSA validation attempts are three validation attempts through different communications sources offered to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 (Call, </w:t>
            </w:r>
            <w:r w:rsidR="00A30C00">
              <w:rPr>
                <w:rFonts w:ascii="Calibri" w:eastAsia="Calibri" w:hAnsi="Calibri" w:cs="Calibri"/>
              </w:rPr>
              <w:t>WhatsApp</w:t>
            </w:r>
            <w:r>
              <w:rPr>
                <w:rFonts w:ascii="Calibri" w:eastAsia="Calibri" w:hAnsi="Calibri" w:cs="Calibri"/>
              </w:rPr>
              <w:t>, SMS).</w:t>
            </w:r>
          </w:p>
          <w:p w14:paraId="352F520C" w14:textId="776DE867" w:rsidR="009269D7" w:rsidRDefault="009269D7" w:rsidP="009269D7">
            <w:pPr>
              <w:widowControl w:val="0"/>
              <w:spacing w:before="120"/>
              <w:ind w:left="720" w:right="259"/>
              <w:jc w:val="both"/>
              <w:rPr>
                <w:rFonts w:ascii="Calibri" w:eastAsia="Calibri" w:hAnsi="Calibri" w:cs="Calibri"/>
              </w:rPr>
            </w:pPr>
          </w:p>
          <w:p w14:paraId="4E79A82F" w14:textId="2C35FB27" w:rsidR="00D746B9" w:rsidRPr="00D746B9" w:rsidRDefault="00D746B9" w:rsidP="00D746B9">
            <w:pPr>
              <w:tabs>
                <w:tab w:val="left" w:pos="628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  <w:p w14:paraId="6BF9E4E9" w14:textId="77777777" w:rsidR="00E935DD" w:rsidRDefault="00E57E53">
            <w:pPr>
              <w:widowControl w:val="0"/>
              <w:spacing w:before="120" w:after="12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Ticket Creation &amp; Resolution: </w:t>
            </w:r>
          </w:p>
          <w:p w14:paraId="6CCFA9CA" w14:textId="425E9809" w:rsidR="00E935DD" w:rsidRDefault="00E57E53">
            <w:pPr>
              <w:widowControl w:val="0"/>
              <w:numPr>
                <w:ilvl w:val="0"/>
                <w:numId w:val="4"/>
              </w:numPr>
              <w:spacing w:before="120" w:after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there is a complaint, inquiry or an escalation from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 w:rsidR="00237EB4">
              <w:rPr>
                <w:rFonts w:ascii="Calibri" w:eastAsia="Calibri" w:hAnsi="Calibri" w:cs="Calibri"/>
              </w:rPr>
              <w:t xml:space="preserve"> or consignee</w:t>
            </w:r>
            <w:r>
              <w:rPr>
                <w:rFonts w:ascii="Calibri" w:eastAsia="Calibri" w:hAnsi="Calibri" w:cs="Calibri"/>
              </w:rPr>
              <w:t>, the ticket will be created by CS. staff in the CORE system and will be assigned to the operations department for resolution.</w:t>
            </w:r>
          </w:p>
          <w:p w14:paraId="75B1A0FE" w14:textId="77777777" w:rsidR="00E935DD" w:rsidRDefault="00E57E53">
            <w:pPr>
              <w:widowControl w:val="0"/>
              <w:numPr>
                <w:ilvl w:val="0"/>
                <w:numId w:val="4"/>
              </w:numPr>
              <w:spacing w:before="120" w:after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SDC operations agents shall resolve the ticket as soon as possible by taking the right action to avoid it being escalated.  </w:t>
            </w:r>
          </w:p>
        </w:tc>
      </w:tr>
      <w:tr w:rsidR="009269D7" w14:paraId="218DDF3C" w14:textId="77777777">
        <w:trPr>
          <w:jc w:val="center"/>
        </w:trPr>
        <w:tc>
          <w:tcPr>
            <w:tcW w:w="1980" w:type="dxa"/>
            <w:shd w:val="clear" w:color="auto" w:fill="auto"/>
          </w:tcPr>
          <w:p w14:paraId="34C1C70B" w14:textId="77777777" w:rsidR="009269D7" w:rsidRDefault="009269D7" w:rsidP="009269D7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Operations </w:t>
            </w:r>
          </w:p>
          <w:p w14:paraId="08FDAF1E" w14:textId="77777777" w:rsidR="009269D7" w:rsidRDefault="009269D7" w:rsidP="009269D7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Guidelines</w:t>
            </w:r>
          </w:p>
          <w:p w14:paraId="0733B545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65BDC15A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3BAF76C2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556BBAE1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20ED31BE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4699FDFF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1CB1ED6A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70EDC3D0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6C7DE744" w14:textId="77777777" w:rsidR="009269D7" w:rsidRDefault="009269D7" w:rsidP="009269D7">
            <w:pPr>
              <w:spacing w:before="120" w:after="120"/>
              <w:ind w:left="342" w:hanging="180"/>
              <w:jc w:val="center"/>
              <w:rPr>
                <w:rFonts w:ascii="Calibri" w:eastAsia="Calibri" w:hAnsi="Calibri" w:cs="Calibri"/>
                <w:highlight w:val="yellow"/>
              </w:rPr>
            </w:pPr>
          </w:p>
          <w:p w14:paraId="4723C3E1" w14:textId="77777777" w:rsidR="009269D7" w:rsidRDefault="009269D7" w:rsidP="009269D7">
            <w:pPr>
              <w:spacing w:before="120" w:after="120"/>
              <w:ind w:left="34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640" w:type="dxa"/>
          </w:tcPr>
          <w:p w14:paraId="351DFA57" w14:textId="77777777" w:rsidR="009269D7" w:rsidRDefault="009269D7" w:rsidP="00926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Shipments Receiving</w:t>
            </w:r>
            <w:r>
              <w:rPr>
                <w:rFonts w:ascii="Calibri" w:eastAsia="Calibri" w:hAnsi="Calibri" w:cs="Calibri"/>
                <w:b/>
              </w:rPr>
              <w:t xml:space="preserve"> &amp; Dispatch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: </w:t>
            </w:r>
          </w:p>
          <w:p w14:paraId="5A199EF7" w14:textId="41913E04" w:rsidR="009269D7" w:rsidRDefault="009269D7" w:rsidP="009269D7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Courier will pick up the shipments from the respective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 location. No scan shall be applied at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 location. </w:t>
            </w:r>
            <w:r w:rsidR="00A30C00">
              <w:rPr>
                <w:rFonts w:ascii="Calibri" w:eastAsia="Calibri" w:hAnsi="Calibri" w:cs="Calibri"/>
              </w:rPr>
              <w:t>But</w:t>
            </w:r>
            <w:r>
              <w:rPr>
                <w:rFonts w:ascii="Calibri" w:eastAsia="Calibri" w:hAnsi="Calibri" w:cs="Calibri"/>
              </w:rPr>
              <w:t xml:space="preserve"> the courier shall count the shipments to tally it with the </w:t>
            </w:r>
            <w:r>
              <w:rPr>
                <w:rFonts w:ascii="Calibri" w:eastAsia="Calibri" w:hAnsi="Calibri" w:cs="Calibri"/>
                <w:b/>
              </w:rPr>
              <w:t>handover manifes</w:t>
            </w:r>
            <w:r>
              <w:rPr>
                <w:rFonts w:ascii="Calibri" w:eastAsia="Calibri" w:hAnsi="Calibri" w:cs="Calibri"/>
              </w:rPr>
              <w:t xml:space="preserve">t printed by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 from the SDC portal provided to them.</w:t>
            </w:r>
          </w:p>
          <w:p w14:paraId="23F44EE3" w14:textId="4CA8E71F" w:rsidR="009269D7" w:rsidRDefault="009269D7" w:rsidP="009269D7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Upon receiving the shipments in the station, SDC operations agents shall apply (</w:t>
            </w:r>
            <w:r>
              <w:rPr>
                <w:rFonts w:ascii="Calibri" w:eastAsia="Calibri" w:hAnsi="Calibri" w:cs="Calibri"/>
                <w:b/>
              </w:rPr>
              <w:t>Dispatch to OPS)</w:t>
            </w:r>
            <w:r>
              <w:rPr>
                <w:rFonts w:ascii="Calibri" w:eastAsia="Calibri" w:hAnsi="Calibri" w:cs="Calibri"/>
              </w:rPr>
              <w:t xml:space="preserve"> scan on each of them then generate the </w:t>
            </w:r>
            <w:r>
              <w:rPr>
                <w:rFonts w:ascii="Calibri" w:eastAsia="Calibri" w:hAnsi="Calibri" w:cs="Calibri"/>
                <w:b/>
              </w:rPr>
              <w:t xml:space="preserve">Dispatch Out Manifest </w:t>
            </w:r>
            <w:r>
              <w:rPr>
                <w:rFonts w:ascii="Calibri" w:eastAsia="Calibri" w:hAnsi="Calibri" w:cs="Calibri"/>
              </w:rPr>
              <w:t xml:space="preserve">with a unique manifest number. This manifest shall be shared to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 to confirm the shipment count received from them by SMSA physically. </w:t>
            </w:r>
          </w:p>
          <w:p w14:paraId="6E83162E" w14:textId="77777777" w:rsidR="009269D7" w:rsidRDefault="009269D7" w:rsidP="009269D7">
            <w:pPr>
              <w:widowControl w:val="0"/>
              <w:ind w:left="225" w:right="259"/>
              <w:jc w:val="both"/>
              <w:rPr>
                <w:rFonts w:ascii="Calibri" w:eastAsia="Calibri" w:hAnsi="Calibri" w:cs="Calibri"/>
              </w:rPr>
            </w:pPr>
          </w:p>
          <w:p w14:paraId="35F6D9FF" w14:textId="77777777" w:rsidR="009269D7" w:rsidRDefault="009269D7" w:rsidP="009269D7">
            <w:pPr>
              <w:widowControl w:val="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Shipments Sortation (Emirates Wise): </w:t>
            </w:r>
          </w:p>
          <w:p w14:paraId="5A15EC11" w14:textId="77777777" w:rsidR="009269D7" w:rsidRDefault="009269D7" w:rsidP="009269D7">
            <w:pPr>
              <w:widowControl w:val="0"/>
              <w:numPr>
                <w:ilvl w:val="0"/>
                <w:numId w:val="8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Shipments shall be sorted Emirate wise. Dubai Shipments shall be kept separately from other shipments. </w:t>
            </w:r>
          </w:p>
          <w:p w14:paraId="160E3F9D" w14:textId="77777777" w:rsidR="009269D7" w:rsidRDefault="009269D7" w:rsidP="009269D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SDC operations agent shall apply </w:t>
            </w:r>
            <w:r>
              <w:rPr>
                <w:rFonts w:ascii="Calibri" w:eastAsia="Calibri" w:hAnsi="Calibri" w:cs="Calibri"/>
                <w:b/>
              </w:rPr>
              <w:t>Operations In</w:t>
            </w:r>
            <w:r>
              <w:rPr>
                <w:rFonts w:ascii="Calibri" w:eastAsia="Calibri" w:hAnsi="Calibri" w:cs="Calibri"/>
              </w:rPr>
              <w:t xml:space="preserve"> scan on all </w:t>
            </w:r>
            <w:r>
              <w:rPr>
                <w:rFonts w:ascii="Calibri" w:eastAsia="Calibri" w:hAnsi="Calibri" w:cs="Calibri"/>
                <w:b/>
              </w:rPr>
              <w:t xml:space="preserve">Dubai </w:t>
            </w:r>
            <w:r>
              <w:rPr>
                <w:rFonts w:ascii="Calibri" w:eastAsia="Calibri" w:hAnsi="Calibri" w:cs="Calibri"/>
              </w:rPr>
              <w:t>delivery shipments.</w:t>
            </w:r>
          </w:p>
          <w:p w14:paraId="3BAB320B" w14:textId="77777777" w:rsidR="009269D7" w:rsidRDefault="009269D7" w:rsidP="00926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259"/>
              <w:jc w:val="both"/>
              <w:rPr>
                <w:rFonts w:ascii="Calibri" w:eastAsia="Calibri" w:hAnsi="Calibri" w:cs="Calibri"/>
              </w:rPr>
            </w:pPr>
          </w:p>
          <w:p w14:paraId="31AB98D4" w14:textId="77777777" w:rsidR="009269D7" w:rsidRDefault="009269D7" w:rsidP="00926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Shipment Outbound:</w:t>
            </w:r>
          </w:p>
          <w:p w14:paraId="1F12C5C6" w14:textId="38F59123" w:rsidR="009269D7" w:rsidRDefault="009269D7" w:rsidP="009269D7">
            <w:pPr>
              <w:widowControl w:val="0"/>
              <w:numPr>
                <w:ilvl w:val="0"/>
                <w:numId w:val="8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Non-Revenue AWBs shall be generated in the SMSA Automation Management portal to send the other Emirates shipments </w:t>
            </w:r>
            <w:r w:rsidR="00A30C00">
              <w:rPr>
                <w:rFonts w:ascii="Calibri" w:eastAsia="Calibri" w:hAnsi="Calibri" w:cs="Calibri"/>
              </w:rPr>
              <w:t>to UAE</w:t>
            </w:r>
            <w:r>
              <w:rPr>
                <w:rFonts w:ascii="Calibri" w:eastAsia="Calibri" w:hAnsi="Calibri" w:cs="Calibri"/>
              </w:rPr>
              <w:t xml:space="preserve"> stations.</w:t>
            </w:r>
          </w:p>
          <w:p w14:paraId="2E39FEB8" w14:textId="77777777" w:rsidR="009269D7" w:rsidRDefault="009269D7" w:rsidP="009269D7">
            <w:pPr>
              <w:widowControl w:val="0"/>
              <w:numPr>
                <w:ilvl w:val="0"/>
                <w:numId w:val="6"/>
              </w:numPr>
              <w:ind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Once the Non-Revenue AWB is generated, </w:t>
            </w:r>
            <w:r>
              <w:rPr>
                <w:rFonts w:ascii="Calibri" w:eastAsia="Calibri" w:hAnsi="Calibri" w:cs="Calibri"/>
                <w:b/>
              </w:rPr>
              <w:t xml:space="preserve">Outbound </w:t>
            </w:r>
            <w:r>
              <w:rPr>
                <w:rFonts w:ascii="Calibri" w:eastAsia="Calibri" w:hAnsi="Calibri" w:cs="Calibri"/>
              </w:rPr>
              <w:t xml:space="preserve">Scan shall be applied on all shipments for other Emirates. </w:t>
            </w:r>
          </w:p>
          <w:p w14:paraId="01ED9EC2" w14:textId="77777777" w:rsidR="009269D7" w:rsidRDefault="009269D7" w:rsidP="009269D7">
            <w:pPr>
              <w:widowControl w:val="0"/>
              <w:numPr>
                <w:ilvl w:val="0"/>
                <w:numId w:val="6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 </w:t>
            </w:r>
            <w:r>
              <w:rPr>
                <w:rFonts w:ascii="Calibri" w:eastAsia="Calibri" w:hAnsi="Calibri" w:cs="Calibri"/>
                <w:b/>
              </w:rPr>
              <w:t>Outbound manifest</w:t>
            </w:r>
            <w:r>
              <w:rPr>
                <w:rFonts w:ascii="Calibri" w:eastAsia="Calibri" w:hAnsi="Calibri" w:cs="Calibri"/>
              </w:rPr>
              <w:t xml:space="preserve"> will be generated by the SDM after </w:t>
            </w:r>
            <w:r>
              <w:rPr>
                <w:rFonts w:ascii="Calibri" w:eastAsia="Calibri" w:hAnsi="Calibri" w:cs="Calibri"/>
                <w:b/>
              </w:rPr>
              <w:t xml:space="preserve">outbound </w:t>
            </w:r>
            <w:r>
              <w:rPr>
                <w:rFonts w:ascii="Calibri" w:eastAsia="Calibri" w:hAnsi="Calibri" w:cs="Calibri"/>
              </w:rPr>
              <w:t>scan.</w:t>
            </w:r>
          </w:p>
          <w:p w14:paraId="13F017A6" w14:textId="77777777" w:rsidR="009269D7" w:rsidRDefault="009269D7" w:rsidP="009269D7">
            <w:pPr>
              <w:widowControl w:val="0"/>
              <w:numPr>
                <w:ilvl w:val="0"/>
                <w:numId w:val="6"/>
              </w:numPr>
              <w:ind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All shipments along with the </w:t>
            </w:r>
            <w:r>
              <w:rPr>
                <w:rFonts w:ascii="Calibri" w:eastAsia="Calibri" w:hAnsi="Calibri" w:cs="Calibri"/>
                <w:b/>
              </w:rPr>
              <w:t>Outbound manifest</w:t>
            </w:r>
            <w:r>
              <w:rPr>
                <w:rFonts w:ascii="Calibri" w:eastAsia="Calibri" w:hAnsi="Calibri" w:cs="Calibri"/>
              </w:rPr>
              <w:t xml:space="preserve"> shall be packed in </w:t>
            </w:r>
            <w:r>
              <w:rPr>
                <w:rFonts w:ascii="Calibri" w:eastAsia="Calibri" w:hAnsi="Calibri" w:cs="Calibri"/>
                <w:b/>
              </w:rPr>
              <w:t>SMSA High Value pack</w:t>
            </w:r>
            <w:r>
              <w:rPr>
                <w:rFonts w:ascii="Calibri" w:eastAsia="Calibri" w:hAnsi="Calibri" w:cs="Calibri"/>
              </w:rPr>
              <w:t xml:space="preserve"> to be sent to UAE stations via linehaul. </w:t>
            </w:r>
          </w:p>
          <w:p w14:paraId="7CC8045C" w14:textId="119E7F4A" w:rsidR="009269D7" w:rsidRDefault="009269D7" w:rsidP="009269D7">
            <w:pPr>
              <w:widowControl w:val="0"/>
              <w:numPr>
                <w:ilvl w:val="0"/>
                <w:numId w:val="6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Pre</w:t>
            </w:r>
            <w:r w:rsidR="00A30C00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alerts shall be sent from Dubai SDC agent to all UAE stations agents mentioning the details of the NRV AWBs, shipments count, outbound manifest number, &amp; etc.</w:t>
            </w:r>
          </w:p>
          <w:p w14:paraId="205C3216" w14:textId="77777777" w:rsidR="009269D7" w:rsidRDefault="009269D7" w:rsidP="009269D7">
            <w:pPr>
              <w:widowControl w:val="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</w:p>
          <w:p w14:paraId="0BFA48CB" w14:textId="77777777" w:rsidR="009269D7" w:rsidRDefault="009269D7" w:rsidP="009269D7">
            <w:pPr>
              <w:widowControl w:val="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Shipment Delivery Process (Dubai):</w:t>
            </w:r>
          </w:p>
          <w:p w14:paraId="13578676" w14:textId="287A1EE0" w:rsidR="00A30C00" w:rsidRDefault="009269D7" w:rsidP="00A30C00">
            <w:pPr>
              <w:widowControl w:val="0"/>
              <w:numPr>
                <w:ilvl w:val="0"/>
                <w:numId w:val="10"/>
              </w:numP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Out for delivery (OFD)</w:t>
            </w:r>
            <w:r>
              <w:rPr>
                <w:rFonts w:ascii="Calibri" w:eastAsia="Calibri" w:hAnsi="Calibri" w:cs="Calibri"/>
              </w:rPr>
              <w:t xml:space="preserve"> scan shall be applied by couriers then proceed for delivery.</w:t>
            </w:r>
          </w:p>
          <w:p w14:paraId="2C7A6F17" w14:textId="77777777" w:rsidR="00A30C00" w:rsidRPr="00A30C00" w:rsidRDefault="00A30C00" w:rsidP="00A30C00">
            <w:pPr>
              <w:widowControl w:val="0"/>
              <w:spacing w:before="120"/>
              <w:ind w:left="720" w:right="259"/>
              <w:jc w:val="both"/>
              <w:rPr>
                <w:rFonts w:ascii="Calibri" w:eastAsia="Calibri" w:hAnsi="Calibri" w:cs="Calibri"/>
              </w:rPr>
            </w:pPr>
          </w:p>
          <w:p w14:paraId="455D9A64" w14:textId="2C3B78A2" w:rsidR="009269D7" w:rsidRDefault="009269D7" w:rsidP="009269D7">
            <w:pPr>
              <w:widowControl w:val="0"/>
              <w:numPr>
                <w:ilvl w:val="0"/>
                <w:numId w:val="10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Shipment delivery process shall be implemented as per agreed service </w:t>
            </w:r>
            <w:r>
              <w:rPr>
                <w:rFonts w:ascii="Calibri" w:eastAsia="Calibri" w:hAnsi="Calibri" w:cs="Calibri"/>
              </w:rPr>
              <w:lastRenderedPageBreak/>
              <w:t xml:space="preserve">levels with </w:t>
            </w:r>
            <w:r w:rsidR="00237EB4"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>. It may vary as per their requirements.</w:t>
            </w:r>
          </w:p>
          <w:p w14:paraId="32F8BFB4" w14:textId="77777777" w:rsidR="009269D7" w:rsidRDefault="009269D7" w:rsidP="009269D7">
            <w:pPr>
              <w:widowControl w:val="0"/>
              <w:numPr>
                <w:ilvl w:val="0"/>
                <w:numId w:val="10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 delivery attempts SMSA courier shall perform are three attempts on three consecutive days.</w:t>
            </w:r>
          </w:p>
          <w:p w14:paraId="0BDF19E9" w14:textId="57A677B1" w:rsidR="009269D7" w:rsidRDefault="009269D7" w:rsidP="009269D7">
            <w:pPr>
              <w:widowControl w:val="0"/>
              <w:numPr>
                <w:ilvl w:val="0"/>
                <w:numId w:val="10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Performance reports showing the details of the delivery attempts may be shared to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 by SDC CS staff if required. These reports shall provide clarity on how many shipments were delivered &amp; undelivered due to various delivery exceptions.</w:t>
            </w:r>
          </w:p>
          <w:p w14:paraId="3C2C5587" w14:textId="77777777" w:rsidR="009269D7" w:rsidRDefault="009269D7" w:rsidP="009269D7">
            <w:pPr>
              <w:widowControl w:val="0"/>
              <w:spacing w:before="12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Shipments Receiving (Other UAE Stations): </w:t>
            </w:r>
          </w:p>
          <w:p w14:paraId="0BD9F61C" w14:textId="5333CEC0" w:rsidR="009269D7" w:rsidRDefault="009269D7" w:rsidP="009269D7">
            <w:pPr>
              <w:widowControl w:val="0"/>
              <w:numPr>
                <w:ilvl w:val="0"/>
                <w:numId w:val="9"/>
              </w:numPr>
              <w:spacing w:before="120"/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UAE stations agents shall respond to the email pre-alert sent by Dubai SDC agent and confirm the shipments details mentioned in the </w:t>
            </w:r>
            <w:r>
              <w:rPr>
                <w:rFonts w:ascii="Calibri" w:eastAsia="Calibri" w:hAnsi="Calibri" w:cs="Calibri"/>
                <w:b/>
              </w:rPr>
              <w:t>Outbound manifest.</w:t>
            </w:r>
          </w:p>
          <w:p w14:paraId="43C35063" w14:textId="77777777" w:rsidR="009269D7" w:rsidRDefault="009269D7" w:rsidP="009269D7">
            <w:pPr>
              <w:widowControl w:val="0"/>
              <w:numPr>
                <w:ilvl w:val="0"/>
                <w:numId w:val="9"/>
              </w:numPr>
              <w:ind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The operations agents shall apply </w:t>
            </w:r>
            <w:r>
              <w:rPr>
                <w:rFonts w:ascii="Calibri" w:eastAsia="Calibri" w:hAnsi="Calibri" w:cs="Calibri"/>
                <w:b/>
              </w:rPr>
              <w:t>Inbound scan</w:t>
            </w:r>
            <w:r>
              <w:rPr>
                <w:rFonts w:ascii="Calibri" w:eastAsia="Calibri" w:hAnsi="Calibri" w:cs="Calibri"/>
              </w:rPr>
              <w:t xml:space="preserve"> on all shipments.</w:t>
            </w:r>
          </w:p>
          <w:p w14:paraId="36EFB2FE" w14:textId="77777777" w:rsidR="009269D7" w:rsidRDefault="009269D7" w:rsidP="009269D7">
            <w:pPr>
              <w:widowControl w:val="0"/>
              <w:numPr>
                <w:ilvl w:val="0"/>
                <w:numId w:val="9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Out for delivery (OFD)</w:t>
            </w:r>
            <w:r>
              <w:rPr>
                <w:rFonts w:ascii="Calibri" w:eastAsia="Calibri" w:hAnsi="Calibri" w:cs="Calibri"/>
              </w:rPr>
              <w:t xml:space="preserve"> scan shall be applied by couriers then proceed for delivery.</w:t>
            </w:r>
          </w:p>
          <w:p w14:paraId="24B289A0" w14:textId="77777777" w:rsidR="009269D7" w:rsidRDefault="009269D7" w:rsidP="00926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</w:p>
          <w:p w14:paraId="7056804F" w14:textId="77777777" w:rsidR="009269D7" w:rsidRDefault="009269D7" w:rsidP="00926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5" w:right="259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Shipments Return to Station:</w:t>
            </w:r>
          </w:p>
          <w:p w14:paraId="418557F3" w14:textId="77777777" w:rsidR="009269D7" w:rsidRDefault="009269D7" w:rsidP="009269D7">
            <w:pPr>
              <w:widowControl w:val="0"/>
              <w:numPr>
                <w:ilvl w:val="0"/>
                <w:numId w:val="2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undelivered shipments returned to SDC station at the end of the day shall have a </w:t>
            </w:r>
            <w:r>
              <w:rPr>
                <w:rFonts w:ascii="Calibri" w:eastAsia="Calibri" w:hAnsi="Calibri" w:cs="Calibri"/>
                <w:b/>
              </w:rPr>
              <w:t>Cage In</w:t>
            </w:r>
            <w:r>
              <w:rPr>
                <w:rFonts w:ascii="Calibri" w:eastAsia="Calibri" w:hAnsi="Calibri" w:cs="Calibri"/>
              </w:rPr>
              <w:t xml:space="preserve"> scan applied on them by the station's agents. </w:t>
            </w:r>
          </w:p>
          <w:p w14:paraId="338BEBDB" w14:textId="470D10CF" w:rsidR="009269D7" w:rsidRDefault="009269D7" w:rsidP="009269D7">
            <w:pPr>
              <w:widowControl w:val="0"/>
              <w:numPr>
                <w:ilvl w:val="0"/>
                <w:numId w:val="2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Undelivered shipments shall be kept in the stations as per agreement with 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19E3FD96" w14:textId="77777777" w:rsidR="009269D7" w:rsidRDefault="009269D7" w:rsidP="009269D7">
            <w:pPr>
              <w:widowControl w:val="0"/>
              <w:numPr>
                <w:ilvl w:val="0"/>
                <w:numId w:val="2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Future delivery requests by consignees shall be accepted up to a maximum of one week as per SMSA standards.</w:t>
            </w:r>
          </w:p>
          <w:p w14:paraId="5A8432D7" w14:textId="77777777" w:rsidR="009269D7" w:rsidRDefault="009269D7" w:rsidP="009269D7">
            <w:pPr>
              <w:widowControl w:val="0"/>
              <w:numPr>
                <w:ilvl w:val="0"/>
                <w:numId w:val="2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UAE stations agents shall send all undelivered shipments to Dubai SDC Station for the return to client process.</w:t>
            </w:r>
          </w:p>
          <w:p w14:paraId="1C9F49A9" w14:textId="77777777" w:rsidR="009269D7" w:rsidRDefault="009269D7" w:rsidP="009269D7">
            <w:pPr>
              <w:widowControl w:val="0"/>
              <w:numPr>
                <w:ilvl w:val="0"/>
                <w:numId w:val="2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Return to origin</w:t>
            </w:r>
            <w:r>
              <w:rPr>
                <w:rFonts w:ascii="Calibri" w:eastAsia="Calibri" w:hAnsi="Calibri" w:cs="Calibri"/>
              </w:rPr>
              <w:t xml:space="preserve"> scan shall be applied on undelivered shipments by UAE stations agents prior to returning them to Dubai SDC station.</w:t>
            </w:r>
          </w:p>
          <w:p w14:paraId="25D98CEC" w14:textId="02B775EE" w:rsidR="009269D7" w:rsidRDefault="009269D7" w:rsidP="009269D7">
            <w:pPr>
              <w:widowControl w:val="0"/>
              <w:numPr>
                <w:ilvl w:val="0"/>
                <w:numId w:val="2"/>
              </w:numP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 pre-alerts, NRV AWBs, Outbound manifests and high value packs shall be used to return back all undelivered shipments to Dubai SDC station.</w:t>
            </w:r>
          </w:p>
          <w:p w14:paraId="25FFF9E0" w14:textId="77777777" w:rsidR="009269D7" w:rsidRDefault="009269D7" w:rsidP="009269D7">
            <w:pPr>
              <w:widowControl w:val="0"/>
              <w:ind w:left="720" w:right="259"/>
              <w:jc w:val="both"/>
              <w:rPr>
                <w:rFonts w:ascii="Calibri" w:eastAsia="Calibri" w:hAnsi="Calibri" w:cs="Calibri"/>
              </w:rPr>
            </w:pPr>
          </w:p>
          <w:p w14:paraId="6821CC6E" w14:textId="77777777" w:rsidR="009269D7" w:rsidRDefault="009269D7" w:rsidP="00926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25" w:right="259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</w:rPr>
              <w:t>hipments Return to Client:</w:t>
            </w:r>
          </w:p>
          <w:p w14:paraId="73AC91CB" w14:textId="231FD099" w:rsidR="009269D7" w:rsidRDefault="009269D7" w:rsidP="00926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Upon completing a seven-days cycle, considering day one is the </w:t>
            </w:r>
            <w:r w:rsidR="00A30C00">
              <w:rPr>
                <w:rFonts w:ascii="Calibri" w:eastAsia="Calibri" w:hAnsi="Calibri" w:cs="Calibri"/>
              </w:rPr>
              <w:t>pickup</w:t>
            </w:r>
            <w:r>
              <w:rPr>
                <w:rFonts w:ascii="Calibri" w:eastAsia="Calibri" w:hAnsi="Calibri" w:cs="Calibri"/>
              </w:rPr>
              <w:t xml:space="preserve"> day, </w:t>
            </w:r>
            <w:proofErr w:type="gramStart"/>
            <w:r>
              <w:rPr>
                <w:rFonts w:ascii="Calibri" w:eastAsia="Calibri" w:hAnsi="Calibri" w:cs="Calibri"/>
                <w:b/>
              </w:rPr>
              <w:t>Return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to client</w:t>
            </w:r>
            <w:r>
              <w:rPr>
                <w:rFonts w:ascii="Calibri" w:eastAsia="Calibri" w:hAnsi="Calibri" w:cs="Calibri"/>
              </w:rPr>
              <w:t xml:space="preserve"> scan will be applied on all undelivered shipments on day eight and it will be returned to </w:t>
            </w:r>
            <w:r w:rsidR="00237EB4">
              <w:rPr>
                <w:rFonts w:ascii="Calibri" w:eastAsia="Calibri" w:hAnsi="Calibri" w:cs="Calibri"/>
              </w:rPr>
              <w:t xml:space="preserve">the </w:t>
            </w:r>
            <w:r w:rsidR="008C6C10">
              <w:rPr>
                <w:rFonts w:ascii="Calibri" w:eastAsia="Calibri" w:hAnsi="Calibri" w:cs="Calibri"/>
              </w:rPr>
              <w:t>client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5C5FA7B3" w14:textId="77777777" w:rsidR="009269D7" w:rsidRDefault="009269D7" w:rsidP="00926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Return Manifest</w:t>
            </w:r>
            <w:r>
              <w:rPr>
                <w:rFonts w:ascii="Calibri" w:eastAsia="Calibri" w:hAnsi="Calibri" w:cs="Calibri"/>
              </w:rPr>
              <w:t xml:space="preserve"> will be generated through SDM providing the shipments details &amp; reasons for return and it will be shared to the client in email.</w:t>
            </w:r>
          </w:p>
          <w:p w14:paraId="421E5ACA" w14:textId="596F6A5A" w:rsidR="009269D7" w:rsidRPr="00A30C00" w:rsidRDefault="009269D7" w:rsidP="00A30C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both"/>
              <w:rPr>
                <w:rFonts w:ascii="Calibri" w:eastAsia="Calibri" w:hAnsi="Calibri" w:cs="Calibri"/>
              </w:rPr>
            </w:pPr>
            <w:r w:rsidRPr="009269D7">
              <w:rPr>
                <w:rFonts w:ascii="Calibri" w:eastAsia="Calibri" w:hAnsi="Calibri" w:cs="Calibri"/>
                <w:b/>
              </w:rPr>
              <w:t>Return Manifest</w:t>
            </w:r>
            <w:r w:rsidRPr="009269D7">
              <w:rPr>
                <w:rFonts w:ascii="Calibri" w:eastAsia="Calibri" w:hAnsi="Calibri" w:cs="Calibri"/>
              </w:rPr>
              <w:t xml:space="preserve"> shall be signed and/or stamped by the client when the courier returns the shipments. </w:t>
            </w:r>
          </w:p>
        </w:tc>
      </w:tr>
    </w:tbl>
    <w:p w14:paraId="436C3E0D" w14:textId="77777777" w:rsidR="00E935DD" w:rsidRDefault="00E935DD" w:rsidP="00A30C00">
      <w:pPr>
        <w:rPr>
          <w:rFonts w:ascii="Calibri" w:eastAsia="Calibri" w:hAnsi="Calibri" w:cs="Calibri"/>
        </w:rPr>
      </w:pPr>
    </w:p>
    <w:sectPr w:rsidR="00E935DD" w:rsidSect="009955EB">
      <w:headerReference w:type="default" r:id="rId8"/>
      <w:footerReference w:type="default" r:id="rId9"/>
      <w:pgSz w:w="12240" w:h="15840"/>
      <w:pgMar w:top="1440" w:right="1440" w:bottom="1440" w:left="1440" w:header="14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1D68" w14:textId="77777777" w:rsidR="00317A9A" w:rsidRDefault="00317A9A">
      <w:r>
        <w:separator/>
      </w:r>
    </w:p>
  </w:endnote>
  <w:endnote w:type="continuationSeparator" w:id="0">
    <w:p w14:paraId="24B28488" w14:textId="77777777" w:rsidR="00317A9A" w:rsidRDefault="0031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1847" w14:textId="2DF0C61C" w:rsidR="00737A69" w:rsidRDefault="00737A69" w:rsidP="00D746B9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0" w:name="_Hlk153133482"/>
    <w:bookmarkStart w:id="1" w:name="_Hlk155603815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AC594E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AC594E">
      <w:rPr>
        <w:rFonts w:asciiTheme="minorHAnsi" w:hAnsiTheme="minorHAnsi" w:cstheme="minorHAnsi"/>
        <w:noProof/>
        <w:sz w:val="20"/>
        <w:szCs w:val="20"/>
      </w:rPr>
      <w:t>3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</w:p>
  <w:bookmarkEnd w:id="0"/>
  <w:bookmarkEnd w:id="1"/>
  <w:p w14:paraId="4C25F9FE" w14:textId="36320FC7" w:rsidR="00E935DD" w:rsidRDefault="00E57E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  <w:tab w:val="right" w:pos="93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6241" w14:textId="77777777" w:rsidR="00317A9A" w:rsidRDefault="00317A9A">
      <w:r>
        <w:separator/>
      </w:r>
    </w:p>
  </w:footnote>
  <w:footnote w:type="continuationSeparator" w:id="0">
    <w:p w14:paraId="55257A16" w14:textId="77777777" w:rsidR="00317A9A" w:rsidRDefault="00317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AA66" w14:textId="77777777" w:rsidR="00E935DD" w:rsidRDefault="00E935D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</w:rPr>
    </w:pPr>
  </w:p>
  <w:tbl>
    <w:tblPr>
      <w:tblStyle w:val="a0"/>
      <w:tblW w:w="17010" w:type="dxa"/>
      <w:tblInd w:w="-432" w:type="dxa"/>
      <w:tblLayout w:type="fixed"/>
      <w:tblLook w:val="0400" w:firstRow="0" w:lastRow="0" w:firstColumn="0" w:lastColumn="0" w:noHBand="0" w:noVBand="1"/>
    </w:tblPr>
    <w:tblGrid>
      <w:gridCol w:w="4230"/>
      <w:gridCol w:w="6390"/>
      <w:gridCol w:w="6390"/>
    </w:tblGrid>
    <w:tr w:rsidR="00E935DD" w14:paraId="71A872D4" w14:textId="77777777">
      <w:tc>
        <w:tcPr>
          <w:tcW w:w="4230" w:type="dxa"/>
        </w:tcPr>
        <w:p w14:paraId="04A4B70B" w14:textId="77777777" w:rsidR="00E935DD" w:rsidRDefault="00E5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B0372BE" wp14:editId="3EEEF7B0">
                <wp:simplePos x="0" y="0"/>
                <wp:positionH relativeFrom="column">
                  <wp:posOffset>-53340</wp:posOffset>
                </wp:positionH>
                <wp:positionV relativeFrom="paragraph">
                  <wp:posOffset>3810</wp:posOffset>
                </wp:positionV>
                <wp:extent cx="1197864" cy="413385"/>
                <wp:effectExtent l="0" t="0" r="2540" b="5715"/>
                <wp:wrapSquare wrapText="bothSides" distT="0" distB="0" distL="114300" distR="114300"/>
                <wp:docPr id="3" name="image1.png" descr="official smsa logo 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official smsa logo en"/>
                        <pic:cNvPicPr preferRelativeResize="0"/>
                      </pic:nvPicPr>
                      <pic:blipFill>
                        <a:blip r:embed="rId1"/>
                        <a:srcRect b="369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413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6390" w:type="dxa"/>
        </w:tcPr>
        <w:p w14:paraId="3E0EC603" w14:textId="71EC2AAB" w:rsidR="00E935DD" w:rsidRDefault="00E57E53">
          <w:pPr>
            <w:widowControl w:val="0"/>
            <w:jc w:val="right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sz w:val="32"/>
              <w:szCs w:val="32"/>
            </w:rPr>
            <w:t>UAE Special Delivery Channel (SDC) SOP</w:t>
          </w:r>
          <w:r>
            <w:rPr>
              <w:rFonts w:ascii="Calibri" w:eastAsia="Calibri" w:hAnsi="Calibri" w:cs="Calibri"/>
              <w:b/>
              <w:sz w:val="32"/>
              <w:szCs w:val="32"/>
            </w:rPr>
            <w:br/>
          </w:r>
          <w:r>
            <w:rPr>
              <w:rFonts w:ascii="Calibri" w:eastAsia="Calibri" w:hAnsi="Calibri" w:cs="Calibri"/>
            </w:rPr>
            <w:t xml:space="preserve">Owner/ Department: </w:t>
          </w:r>
          <w:r w:rsidR="00737A69">
            <w:rPr>
              <w:rFonts w:ascii="Calibri" w:eastAsia="Calibri" w:hAnsi="Calibri" w:cs="Calibri"/>
            </w:rPr>
            <w:t>IBU-</w:t>
          </w:r>
          <w:r>
            <w:rPr>
              <w:rFonts w:ascii="Calibri" w:eastAsia="Calibri" w:hAnsi="Calibri" w:cs="Calibri"/>
            </w:rPr>
            <w:t>UAE</w:t>
          </w:r>
          <w:r w:rsidR="00737A69">
            <w:rPr>
              <w:rFonts w:ascii="Calibri" w:eastAsia="Calibri" w:hAnsi="Calibri" w:cs="Calibri"/>
            </w:rPr>
            <w:t>, Operations</w:t>
          </w:r>
        </w:p>
      </w:tc>
      <w:tc>
        <w:tcPr>
          <w:tcW w:w="6390" w:type="dxa"/>
        </w:tcPr>
        <w:p w14:paraId="57CF3096" w14:textId="77777777" w:rsidR="00E935DD" w:rsidRDefault="00E57E53">
          <w:pPr>
            <w:jc w:val="right"/>
            <w:rPr>
              <w:rFonts w:ascii="Calibri" w:eastAsia="Calibri" w:hAnsi="Calibri" w:cs="Calibri"/>
              <w:b/>
              <w:color w:val="2E3D47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color w:val="2E3D47"/>
              <w:sz w:val="32"/>
              <w:szCs w:val="32"/>
            </w:rPr>
            <w:t>Title of Policy</w:t>
          </w:r>
        </w:p>
        <w:p w14:paraId="4287DFFB" w14:textId="77777777" w:rsidR="00E935DD" w:rsidRDefault="00E57E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Owner/ Department: ___________</w:t>
          </w:r>
        </w:p>
      </w:tc>
    </w:tr>
  </w:tbl>
  <w:p w14:paraId="664A1644" w14:textId="77777777" w:rsidR="00E935DD" w:rsidRDefault="00E935D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6D37"/>
    <w:multiLevelType w:val="multilevel"/>
    <w:tmpl w:val="3842C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7C8"/>
    <w:multiLevelType w:val="multilevel"/>
    <w:tmpl w:val="CEE47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3C76F8"/>
    <w:multiLevelType w:val="multilevel"/>
    <w:tmpl w:val="C3D421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98309B"/>
    <w:multiLevelType w:val="multilevel"/>
    <w:tmpl w:val="AF3A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E96951"/>
    <w:multiLevelType w:val="multilevel"/>
    <w:tmpl w:val="4CC22A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B753FF"/>
    <w:multiLevelType w:val="multilevel"/>
    <w:tmpl w:val="6B724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29663E"/>
    <w:multiLevelType w:val="multilevel"/>
    <w:tmpl w:val="26445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CD5666"/>
    <w:multiLevelType w:val="multilevel"/>
    <w:tmpl w:val="BE382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58C5A59"/>
    <w:multiLevelType w:val="multilevel"/>
    <w:tmpl w:val="B642B6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234413"/>
    <w:multiLevelType w:val="multilevel"/>
    <w:tmpl w:val="88AA7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4315D3"/>
    <w:multiLevelType w:val="multilevel"/>
    <w:tmpl w:val="EA6CA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DD"/>
    <w:rsid w:val="00237EB4"/>
    <w:rsid w:val="00317A9A"/>
    <w:rsid w:val="00465C6E"/>
    <w:rsid w:val="00737A69"/>
    <w:rsid w:val="008C6C10"/>
    <w:rsid w:val="009269D7"/>
    <w:rsid w:val="009955EB"/>
    <w:rsid w:val="00A30C00"/>
    <w:rsid w:val="00AC594E"/>
    <w:rsid w:val="00B238D5"/>
    <w:rsid w:val="00D746B9"/>
    <w:rsid w:val="00DA4ABD"/>
    <w:rsid w:val="00E57E53"/>
    <w:rsid w:val="00E774A1"/>
    <w:rsid w:val="00E935DD"/>
    <w:rsid w:val="00F37580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A25CF"/>
  <w15:docId w15:val="{3491567F-1889-4842-AF90-8930B341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B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BalloonText">
    <w:name w:val="Balloon Text"/>
    <w:basedOn w:val="Normal"/>
    <w:link w:val="BalloonTextChar"/>
    <w:locked/>
    <w:rsid w:val="00C65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8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1301D"/>
  </w:style>
  <w:style w:type="paragraph" w:styleId="ListParagraph">
    <w:name w:val="List Paragraph"/>
    <w:basedOn w:val="Normal"/>
    <w:uiPriority w:val="34"/>
    <w:qFormat/>
    <w:locked/>
    <w:rsid w:val="0042255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3vOP93lLICwUVJ3/Ua8bkWapWw==">AMUW2mX2FbvFPpDtfYB8NxKip/UIhUdv3k5ToJWHGATkxW0IBL/8fgyUSjGUmm81MjVzVoR0frcEztSSgOLdgfgpMbAx1cF13lOMrSWkAHuYpPZ3hDoUc4E=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mlali</dc:creator>
  <cp:lastModifiedBy>Nifraz M</cp:lastModifiedBy>
  <cp:revision>2</cp:revision>
  <cp:lastPrinted>2024-01-09T11:35:00Z</cp:lastPrinted>
  <dcterms:created xsi:type="dcterms:W3CDTF">2025-09-03T11:16:00Z</dcterms:created>
  <dcterms:modified xsi:type="dcterms:W3CDTF">2025-09-03T11:16:00Z</dcterms:modified>
</cp:coreProperties>
</file>