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8640"/>
      </w:tblGrid>
      <w:tr w:rsidR="007E6DB5" w:rsidRPr="00DA6CD4" w:rsidTr="004247CA">
        <w:tc>
          <w:tcPr>
            <w:tcW w:w="1800" w:type="dxa"/>
          </w:tcPr>
          <w:p w:rsidR="007E6DB5" w:rsidRPr="00DA6CD4" w:rsidRDefault="007E6DB5" w:rsidP="00DA6CD4">
            <w:pPr>
              <w:spacing w:before="120" w:after="120" w:line="300" w:lineRule="atLeast"/>
              <w:rPr>
                <w:rFonts w:cstheme="minorHAnsi"/>
                <w:b/>
                <w:bCs/>
              </w:rPr>
            </w:pPr>
            <w:permStart w:id="0" w:ed="eramos@smsaexpress.com"/>
            <w:permEnd w:id="0"/>
            <w:r w:rsidRPr="00DA6CD4">
              <w:rPr>
                <w:rFonts w:cstheme="minorHAnsi"/>
                <w:b/>
                <w:bCs/>
              </w:rPr>
              <w:t>Overview</w:t>
            </w:r>
          </w:p>
        </w:tc>
        <w:tc>
          <w:tcPr>
            <w:tcW w:w="8640" w:type="dxa"/>
          </w:tcPr>
          <w:p w:rsidR="007E6DB5" w:rsidRPr="00DA6CD4" w:rsidRDefault="007E6DB5" w:rsidP="00DA6CD4">
            <w:pPr>
              <w:spacing w:before="120" w:after="120" w:line="300" w:lineRule="atLeast"/>
              <w:ind w:left="162" w:right="162"/>
              <w:jc w:val="both"/>
              <w:rPr>
                <w:rFonts w:cstheme="minorHAnsi"/>
              </w:rPr>
            </w:pPr>
            <w:r w:rsidRPr="00DA6CD4">
              <w:rPr>
                <w:rFonts w:cstheme="minorHAnsi"/>
              </w:rPr>
              <w:t xml:space="preserve">All operation staff receiving insurance-charges for the international &amp; domestic outbound shipments should handle it very carefully and remit the same day to the finance. </w:t>
            </w:r>
          </w:p>
        </w:tc>
      </w:tr>
      <w:tr w:rsidR="007E6DB5" w:rsidRPr="00DA6CD4" w:rsidTr="004247CA">
        <w:tc>
          <w:tcPr>
            <w:tcW w:w="1800" w:type="dxa"/>
          </w:tcPr>
          <w:p w:rsidR="007E6DB5" w:rsidRPr="00DA6CD4" w:rsidRDefault="007E6DB5" w:rsidP="00DA6CD4">
            <w:pPr>
              <w:spacing w:before="120" w:after="120" w:line="300" w:lineRule="atLeast"/>
              <w:rPr>
                <w:rFonts w:cstheme="minorHAnsi"/>
                <w:b/>
                <w:bCs/>
              </w:rPr>
            </w:pPr>
            <w:r w:rsidRPr="00DA6CD4">
              <w:rPr>
                <w:rFonts w:cstheme="minorHAnsi"/>
                <w:b/>
                <w:bCs/>
              </w:rPr>
              <w:t>Purpose</w:t>
            </w:r>
          </w:p>
        </w:tc>
        <w:tc>
          <w:tcPr>
            <w:tcW w:w="8640" w:type="dxa"/>
          </w:tcPr>
          <w:p w:rsidR="007E6DB5" w:rsidRPr="00DA6CD4" w:rsidRDefault="007E6DB5" w:rsidP="00DA6CD4">
            <w:pPr>
              <w:spacing w:before="120" w:after="120" w:line="300" w:lineRule="atLeast"/>
              <w:ind w:left="162" w:right="162"/>
              <w:jc w:val="both"/>
              <w:rPr>
                <w:rFonts w:cstheme="minorHAnsi"/>
              </w:rPr>
            </w:pPr>
            <w:r w:rsidRPr="00DA6CD4">
              <w:rPr>
                <w:rFonts w:cstheme="minorHAnsi"/>
              </w:rPr>
              <w:t>To protect company &amp; customers in case of loss &amp; damage during transportation of shipments</w:t>
            </w:r>
          </w:p>
        </w:tc>
      </w:tr>
      <w:tr w:rsidR="007E6DB5" w:rsidRPr="00DA6CD4" w:rsidTr="004247CA">
        <w:tc>
          <w:tcPr>
            <w:tcW w:w="1800" w:type="dxa"/>
          </w:tcPr>
          <w:p w:rsidR="007E6DB5" w:rsidRPr="00DA6CD4" w:rsidRDefault="007E6DB5" w:rsidP="00DA6CD4">
            <w:pPr>
              <w:spacing w:before="120" w:after="120" w:line="300" w:lineRule="atLeast"/>
              <w:rPr>
                <w:rFonts w:cstheme="minorHAnsi"/>
                <w:b/>
                <w:bCs/>
              </w:rPr>
            </w:pPr>
            <w:r w:rsidRPr="00DA6CD4">
              <w:rPr>
                <w:rFonts w:cstheme="minorHAnsi"/>
                <w:b/>
                <w:bCs/>
              </w:rPr>
              <w:t>Person Affected</w:t>
            </w:r>
          </w:p>
        </w:tc>
        <w:tc>
          <w:tcPr>
            <w:tcW w:w="8640" w:type="dxa"/>
          </w:tcPr>
          <w:p w:rsidR="007E6DB5" w:rsidRPr="00DA6CD4" w:rsidRDefault="007E6DB5" w:rsidP="00DA6CD4">
            <w:pPr>
              <w:spacing w:before="120" w:after="120" w:line="300" w:lineRule="atLeast"/>
              <w:ind w:left="162" w:right="162"/>
              <w:jc w:val="both"/>
              <w:rPr>
                <w:rStyle w:val="Strong"/>
                <w:rFonts w:cstheme="minorHAnsi"/>
                <w:b w:val="0"/>
                <w:bCs w:val="0"/>
              </w:rPr>
            </w:pPr>
            <w:r w:rsidRPr="00DA6CD4">
              <w:rPr>
                <w:rStyle w:val="Strong"/>
                <w:rFonts w:cstheme="minorHAnsi"/>
                <w:b w:val="0"/>
              </w:rPr>
              <w:t xml:space="preserve">All operation staff receiving insurance charges from customers. </w:t>
            </w:r>
          </w:p>
        </w:tc>
      </w:tr>
      <w:tr w:rsidR="007E6DB5" w:rsidRPr="00DA6CD4" w:rsidTr="004247CA">
        <w:tc>
          <w:tcPr>
            <w:tcW w:w="1800" w:type="dxa"/>
          </w:tcPr>
          <w:p w:rsidR="007E6DB5" w:rsidRPr="00DA6CD4" w:rsidRDefault="007E6DB5" w:rsidP="00DA6CD4">
            <w:pPr>
              <w:spacing w:before="120" w:after="120" w:line="300" w:lineRule="atLeast"/>
              <w:rPr>
                <w:rFonts w:cstheme="minorHAnsi"/>
                <w:b/>
                <w:bCs/>
              </w:rPr>
            </w:pPr>
            <w:r w:rsidRPr="00DA6CD4">
              <w:rPr>
                <w:rFonts w:cstheme="minorHAnsi"/>
                <w:b/>
                <w:bCs/>
              </w:rPr>
              <w:t>Responsibilities</w:t>
            </w:r>
          </w:p>
        </w:tc>
        <w:tc>
          <w:tcPr>
            <w:tcW w:w="8640" w:type="dxa"/>
          </w:tcPr>
          <w:p w:rsidR="007E6DB5" w:rsidRPr="00DA6CD4" w:rsidRDefault="007E6DB5" w:rsidP="00DA6CD4">
            <w:pPr>
              <w:numPr>
                <w:ilvl w:val="0"/>
                <w:numId w:val="1"/>
              </w:numPr>
              <w:tabs>
                <w:tab w:val="clear" w:pos="720"/>
                <w:tab w:val="num" w:pos="522"/>
              </w:tabs>
              <w:spacing w:before="120" w:after="120" w:line="300" w:lineRule="atLeast"/>
              <w:ind w:left="522" w:right="162"/>
              <w:jc w:val="both"/>
              <w:rPr>
                <w:rFonts w:cstheme="minorHAnsi"/>
              </w:rPr>
            </w:pPr>
            <w:r w:rsidRPr="00DA6CD4">
              <w:rPr>
                <w:rFonts w:cstheme="minorHAnsi"/>
              </w:rPr>
              <w:t>Department managers should ensure that staff handles insurance-cash in most appropriate manner.</w:t>
            </w:r>
          </w:p>
          <w:p w:rsidR="007E6DB5" w:rsidRPr="00DA6CD4" w:rsidRDefault="007E6DB5" w:rsidP="00DA6CD4">
            <w:pPr>
              <w:numPr>
                <w:ilvl w:val="0"/>
                <w:numId w:val="1"/>
              </w:numPr>
              <w:tabs>
                <w:tab w:val="clear" w:pos="720"/>
                <w:tab w:val="num" w:pos="522"/>
              </w:tabs>
              <w:spacing w:before="120" w:after="120" w:line="300" w:lineRule="atLeast"/>
              <w:ind w:left="522" w:right="162"/>
              <w:jc w:val="both"/>
              <w:rPr>
                <w:rFonts w:cstheme="minorHAnsi"/>
              </w:rPr>
            </w:pPr>
            <w:r w:rsidRPr="00DA6CD4">
              <w:rPr>
                <w:rFonts w:cstheme="minorHAnsi"/>
              </w:rPr>
              <w:t xml:space="preserve">Operation Staff remits insurance money collected timely </w:t>
            </w:r>
          </w:p>
          <w:p w:rsidR="007E6DB5" w:rsidRPr="00DA6CD4" w:rsidRDefault="007E6DB5" w:rsidP="00DA6CD4">
            <w:pPr>
              <w:numPr>
                <w:ilvl w:val="0"/>
                <w:numId w:val="1"/>
              </w:numPr>
              <w:tabs>
                <w:tab w:val="clear" w:pos="720"/>
                <w:tab w:val="num" w:pos="522"/>
              </w:tabs>
              <w:spacing w:before="120" w:after="120" w:line="300" w:lineRule="atLeast"/>
              <w:ind w:left="522" w:right="162"/>
              <w:jc w:val="both"/>
              <w:rPr>
                <w:rFonts w:cstheme="minorHAnsi"/>
              </w:rPr>
            </w:pPr>
            <w:r w:rsidRPr="00DA6CD4">
              <w:rPr>
                <w:rFonts w:cstheme="minorHAnsi"/>
              </w:rPr>
              <w:t xml:space="preserve">It is the prime responsibility of operation staff than they should handle and remit cash collected against insurance charges in the most proficient manner. </w:t>
            </w:r>
          </w:p>
        </w:tc>
      </w:tr>
      <w:tr w:rsidR="007E6DB5" w:rsidRPr="00DA6CD4" w:rsidTr="004247CA">
        <w:tc>
          <w:tcPr>
            <w:tcW w:w="1800" w:type="dxa"/>
          </w:tcPr>
          <w:p w:rsidR="007E6DB5" w:rsidRPr="00DA6CD4" w:rsidRDefault="00B7620E" w:rsidP="00DA6CD4">
            <w:pPr>
              <w:spacing w:before="120" w:after="120" w:line="300" w:lineRule="atLeast"/>
              <w:rPr>
                <w:rFonts w:cstheme="minorHAnsi"/>
                <w:b/>
                <w:bCs/>
              </w:rPr>
            </w:pPr>
            <w:r>
              <w:rPr>
                <w:rFonts w:cstheme="minorHAnsi"/>
                <w:b/>
                <w:bCs/>
              </w:rPr>
              <w:t>Policy</w:t>
            </w:r>
          </w:p>
        </w:tc>
        <w:tc>
          <w:tcPr>
            <w:tcW w:w="8640" w:type="dxa"/>
          </w:tcPr>
          <w:p w:rsidR="007E6DB5" w:rsidRPr="00DA6CD4" w:rsidRDefault="007E6DB5" w:rsidP="00DA6CD4">
            <w:pPr>
              <w:spacing w:before="120" w:after="120" w:line="300" w:lineRule="atLeast"/>
              <w:ind w:left="162"/>
              <w:jc w:val="both"/>
              <w:rPr>
                <w:rFonts w:cstheme="minorHAnsi"/>
                <w:b/>
              </w:rPr>
            </w:pPr>
            <w:r w:rsidRPr="00DA6CD4">
              <w:rPr>
                <w:rFonts w:cstheme="minorHAnsi"/>
                <w:b/>
              </w:rPr>
              <w:t>Insurance Fees:</w:t>
            </w:r>
          </w:p>
          <w:p w:rsidR="007E6DB5" w:rsidRPr="00DA6CD4" w:rsidRDefault="007E6DB5" w:rsidP="00DA6CD4">
            <w:pPr>
              <w:numPr>
                <w:ilvl w:val="0"/>
                <w:numId w:val="2"/>
              </w:numPr>
              <w:tabs>
                <w:tab w:val="clear" w:pos="720"/>
                <w:tab w:val="num" w:pos="522"/>
              </w:tabs>
              <w:spacing w:before="120" w:after="120" w:line="300" w:lineRule="atLeast"/>
              <w:ind w:left="522" w:right="162"/>
              <w:jc w:val="both"/>
              <w:rPr>
                <w:rFonts w:cstheme="minorHAnsi"/>
              </w:rPr>
            </w:pPr>
            <w:r w:rsidRPr="00DA6CD4">
              <w:rPr>
                <w:rFonts w:cstheme="minorHAnsi"/>
              </w:rPr>
              <w:t>Calc</w:t>
            </w:r>
            <w:r w:rsidR="00DE31BE" w:rsidRPr="00DA6CD4">
              <w:rPr>
                <w:rFonts w:cstheme="minorHAnsi"/>
              </w:rPr>
              <w:t>ulated for both Domestic and</w:t>
            </w:r>
            <w:r w:rsidRPr="00DA6CD4">
              <w:rPr>
                <w:rFonts w:cstheme="minorHAnsi"/>
              </w:rPr>
              <w:t xml:space="preserve"> International shipment at 2% of Declared Value for Carriage as declared on the air waybill.</w:t>
            </w:r>
          </w:p>
          <w:p w:rsidR="007E6DB5" w:rsidRPr="00DA6CD4" w:rsidRDefault="007E6DB5" w:rsidP="00DA6CD4">
            <w:pPr>
              <w:numPr>
                <w:ilvl w:val="0"/>
                <w:numId w:val="2"/>
              </w:numPr>
              <w:tabs>
                <w:tab w:val="clear" w:pos="720"/>
                <w:tab w:val="num" w:pos="522"/>
              </w:tabs>
              <w:spacing w:before="120" w:after="120" w:line="300" w:lineRule="atLeast"/>
              <w:ind w:left="522" w:right="162"/>
              <w:jc w:val="both"/>
              <w:rPr>
                <w:rFonts w:cstheme="minorHAnsi"/>
              </w:rPr>
            </w:pPr>
            <w:r w:rsidRPr="00DA6CD4">
              <w:rPr>
                <w:rFonts w:cstheme="minorHAnsi"/>
              </w:rPr>
              <w:t>Maximum Declared Value for Carriage we allow for shipment is as follows:</w:t>
            </w:r>
          </w:p>
          <w:p w:rsidR="007E6DB5" w:rsidRPr="00DA6CD4" w:rsidRDefault="007E6DB5" w:rsidP="00B7620E">
            <w:pPr>
              <w:numPr>
                <w:ilvl w:val="1"/>
                <w:numId w:val="2"/>
              </w:numPr>
              <w:spacing w:after="0" w:line="300" w:lineRule="atLeast"/>
              <w:jc w:val="both"/>
              <w:rPr>
                <w:rFonts w:cstheme="minorHAnsi"/>
              </w:rPr>
            </w:pPr>
            <w:r w:rsidRPr="00DA6CD4">
              <w:rPr>
                <w:rFonts w:cstheme="minorHAnsi"/>
              </w:rPr>
              <w:t>Envelope         AED 370/- (USD 100)</w:t>
            </w:r>
          </w:p>
          <w:p w:rsidR="007E6DB5" w:rsidRPr="00DA6CD4" w:rsidRDefault="007E6DB5" w:rsidP="00B7620E">
            <w:pPr>
              <w:numPr>
                <w:ilvl w:val="1"/>
                <w:numId w:val="2"/>
              </w:numPr>
              <w:spacing w:after="0" w:line="300" w:lineRule="atLeast"/>
              <w:jc w:val="both"/>
              <w:rPr>
                <w:rFonts w:cstheme="minorHAnsi"/>
              </w:rPr>
            </w:pPr>
            <w:r w:rsidRPr="00DA6CD4">
              <w:rPr>
                <w:rFonts w:cstheme="minorHAnsi"/>
              </w:rPr>
              <w:t>Pak                  AED 370/- (USD 100)</w:t>
            </w:r>
          </w:p>
          <w:p w:rsidR="007E6DB5" w:rsidRPr="00DA6CD4" w:rsidRDefault="007E6DB5" w:rsidP="00B7620E">
            <w:pPr>
              <w:numPr>
                <w:ilvl w:val="1"/>
                <w:numId w:val="2"/>
              </w:numPr>
              <w:spacing w:after="0" w:line="300" w:lineRule="atLeast"/>
              <w:jc w:val="both"/>
              <w:rPr>
                <w:rFonts w:cstheme="minorHAnsi"/>
              </w:rPr>
            </w:pPr>
            <w:r w:rsidRPr="00DA6CD4">
              <w:rPr>
                <w:rFonts w:cstheme="minorHAnsi"/>
              </w:rPr>
              <w:t>Box                  AED 185,000/- (USD 50,000)</w:t>
            </w:r>
          </w:p>
          <w:p w:rsidR="007E6DB5" w:rsidRPr="00DA6CD4" w:rsidRDefault="007E6DB5" w:rsidP="00DA6CD4">
            <w:pPr>
              <w:spacing w:after="0" w:line="300" w:lineRule="atLeast"/>
              <w:ind w:left="1440"/>
              <w:jc w:val="both"/>
              <w:rPr>
                <w:rFonts w:cstheme="minorHAnsi"/>
              </w:rPr>
            </w:pPr>
          </w:p>
          <w:p w:rsidR="007E6DB5" w:rsidRPr="00DA6CD4" w:rsidRDefault="007E6DB5" w:rsidP="00B7620E">
            <w:pPr>
              <w:spacing w:before="120" w:after="120" w:line="300" w:lineRule="atLeast"/>
              <w:ind w:left="162" w:right="162"/>
              <w:jc w:val="both"/>
              <w:rPr>
                <w:rFonts w:cstheme="minorHAnsi"/>
              </w:rPr>
            </w:pPr>
            <w:r w:rsidRPr="00B7620E">
              <w:rPr>
                <w:rFonts w:cstheme="minorHAnsi"/>
                <w:b/>
              </w:rPr>
              <w:t>Exception:</w:t>
            </w:r>
            <w:r w:rsidRPr="00DA6CD4">
              <w:rPr>
                <w:rFonts w:cstheme="minorHAnsi"/>
              </w:rPr>
              <w:t xml:space="preserve">  Items of Extraordinary Value described below are allowed to be declared up to a maximum limit of AED 3700 (USD 1000) per shipment.</w:t>
            </w:r>
          </w:p>
          <w:p w:rsidR="007E6DB5" w:rsidRPr="00B7620E" w:rsidRDefault="007E6DB5" w:rsidP="00B7620E">
            <w:pPr>
              <w:spacing w:before="120" w:after="120" w:line="300" w:lineRule="atLeast"/>
              <w:ind w:left="162" w:right="162"/>
              <w:jc w:val="both"/>
              <w:rPr>
                <w:rFonts w:cstheme="minorHAnsi"/>
                <w:b/>
              </w:rPr>
            </w:pPr>
            <w:r w:rsidRPr="00B7620E">
              <w:rPr>
                <w:rFonts w:cstheme="minorHAnsi"/>
                <w:b/>
              </w:rPr>
              <w:t>Items of Extraordinary Value:</w:t>
            </w:r>
          </w:p>
          <w:p w:rsidR="007E6DB5" w:rsidRPr="00DA6CD4" w:rsidRDefault="007E6DB5" w:rsidP="00B7620E">
            <w:pPr>
              <w:numPr>
                <w:ilvl w:val="0"/>
                <w:numId w:val="2"/>
              </w:numPr>
              <w:tabs>
                <w:tab w:val="clear" w:pos="720"/>
                <w:tab w:val="num" w:pos="522"/>
              </w:tabs>
              <w:spacing w:before="120" w:after="120" w:line="300" w:lineRule="atLeast"/>
              <w:ind w:left="522" w:right="162"/>
              <w:jc w:val="both"/>
              <w:rPr>
                <w:rFonts w:cstheme="minorHAnsi"/>
              </w:rPr>
            </w:pPr>
            <w:r w:rsidRPr="00DA6CD4">
              <w:rPr>
                <w:rFonts w:cstheme="minorHAnsi"/>
              </w:rPr>
              <w:t>Items of extra-ordinary value Include but not limited to: antiques (tableware, glassware, collector items, etc). Artwork (painting, drawings, vases, tapestries, limited edition prints, statuary, sculpture, collector items, etc). Collectibles (coins, stamps, etc). Glassware (singe mirror, ceramics, porcelain, china, crystal glass, framed glass, etc). Jewelry (watches and their parts, precious and semi-precious gems and stones, costume jewelry, industrial diamonds, etc</w:t>
            </w:r>
            <w:r w:rsidR="008C276B">
              <w:rPr>
                <w:rFonts w:cstheme="minorHAnsi"/>
              </w:rPr>
              <w:t>.</w:t>
            </w:r>
            <w:r w:rsidRPr="00DA6CD4">
              <w:rPr>
                <w:rFonts w:cstheme="minorHAnsi"/>
              </w:rPr>
              <w:t>) and precious metals (silver bullion or dust, gold, platinum…) etc.</w:t>
            </w:r>
          </w:p>
          <w:p w:rsidR="00B7620E" w:rsidRDefault="00B7620E" w:rsidP="00B7620E">
            <w:pPr>
              <w:spacing w:after="0" w:line="300" w:lineRule="atLeast"/>
              <w:jc w:val="both"/>
              <w:rPr>
                <w:rFonts w:cstheme="minorHAnsi"/>
              </w:rPr>
            </w:pPr>
          </w:p>
          <w:p w:rsidR="007E6DB5" w:rsidRPr="00B7620E" w:rsidRDefault="007E6DB5" w:rsidP="00B7620E">
            <w:pPr>
              <w:spacing w:after="120" w:line="300" w:lineRule="atLeast"/>
              <w:ind w:left="162"/>
              <w:jc w:val="both"/>
              <w:rPr>
                <w:rFonts w:cstheme="minorHAnsi"/>
                <w:b/>
              </w:rPr>
            </w:pPr>
            <w:r w:rsidRPr="00B7620E">
              <w:rPr>
                <w:rFonts w:cstheme="minorHAnsi"/>
                <w:b/>
              </w:rPr>
              <w:t>Claims:</w:t>
            </w:r>
          </w:p>
          <w:p w:rsidR="007E6DB5" w:rsidRPr="00DA6CD4" w:rsidRDefault="007E6DB5" w:rsidP="00B7620E">
            <w:pPr>
              <w:numPr>
                <w:ilvl w:val="0"/>
                <w:numId w:val="2"/>
              </w:numPr>
              <w:tabs>
                <w:tab w:val="clear" w:pos="720"/>
                <w:tab w:val="num" w:pos="522"/>
              </w:tabs>
              <w:spacing w:before="120" w:after="120" w:line="300" w:lineRule="atLeast"/>
              <w:ind w:left="522" w:right="162"/>
              <w:jc w:val="both"/>
              <w:rPr>
                <w:rFonts w:cstheme="minorHAnsi"/>
              </w:rPr>
            </w:pPr>
            <w:r w:rsidRPr="00DA6CD4">
              <w:rPr>
                <w:rFonts w:cstheme="minorHAnsi"/>
              </w:rPr>
              <w:t>While delivering the shipment the customer must make sure that it is free from any damage, in case there is damage he must make claims in writing addressed to Claims section of the Customer Service Department.</w:t>
            </w:r>
          </w:p>
          <w:p w:rsidR="007E6DB5" w:rsidRPr="00DA6CD4" w:rsidRDefault="002366C5" w:rsidP="00B7620E">
            <w:pPr>
              <w:numPr>
                <w:ilvl w:val="0"/>
                <w:numId w:val="2"/>
              </w:numPr>
              <w:tabs>
                <w:tab w:val="clear" w:pos="720"/>
                <w:tab w:val="num" w:pos="522"/>
              </w:tabs>
              <w:spacing w:before="120" w:after="120" w:line="300" w:lineRule="atLeast"/>
              <w:ind w:left="522" w:right="162"/>
              <w:jc w:val="both"/>
              <w:rPr>
                <w:rFonts w:cstheme="minorHAnsi"/>
              </w:rPr>
            </w:pPr>
            <w:r w:rsidRPr="00DA6CD4">
              <w:rPr>
                <w:rFonts w:cstheme="minorHAnsi"/>
              </w:rPr>
              <w:lastRenderedPageBreak/>
              <w:t>Cash Customers s</w:t>
            </w:r>
            <w:r w:rsidR="007E6DB5" w:rsidRPr="00DA6CD4">
              <w:rPr>
                <w:rFonts w:cstheme="minorHAnsi"/>
              </w:rPr>
              <w:t xml:space="preserve">hipments </w:t>
            </w:r>
            <w:r w:rsidRPr="00DA6CD4">
              <w:rPr>
                <w:rFonts w:cstheme="minorHAnsi"/>
              </w:rPr>
              <w:t xml:space="preserve">pickup by operation staff </w:t>
            </w:r>
            <w:r w:rsidR="007E6DB5" w:rsidRPr="00DA6CD4">
              <w:rPr>
                <w:rFonts w:cstheme="minorHAnsi"/>
              </w:rPr>
              <w:t>with declared value more than 100 USD, should be insured or indemnified.</w:t>
            </w:r>
          </w:p>
          <w:p w:rsidR="002366C5" w:rsidRPr="00DA6CD4" w:rsidRDefault="002366C5" w:rsidP="00B7620E">
            <w:pPr>
              <w:numPr>
                <w:ilvl w:val="0"/>
                <w:numId w:val="2"/>
              </w:numPr>
              <w:tabs>
                <w:tab w:val="clear" w:pos="720"/>
                <w:tab w:val="num" w:pos="522"/>
              </w:tabs>
              <w:spacing w:before="120" w:after="120" w:line="300" w:lineRule="atLeast"/>
              <w:ind w:left="522" w:right="162"/>
              <w:jc w:val="both"/>
              <w:rPr>
                <w:rFonts w:cstheme="minorHAnsi"/>
              </w:rPr>
            </w:pPr>
            <w:r w:rsidRPr="00DA6CD4">
              <w:rPr>
                <w:rFonts w:cstheme="minorHAnsi"/>
              </w:rPr>
              <w:t xml:space="preserve">Corporate Customers shipments pickup by operation staff  with declared value more than 100 USD, will not </w:t>
            </w:r>
            <w:r w:rsidR="00DE31BE" w:rsidRPr="00DA6CD4">
              <w:rPr>
                <w:rFonts w:cstheme="minorHAnsi"/>
              </w:rPr>
              <w:t xml:space="preserve">be </w:t>
            </w:r>
            <w:r w:rsidRPr="00DA6CD4">
              <w:rPr>
                <w:rFonts w:cstheme="minorHAnsi"/>
              </w:rPr>
              <w:t>require</w:t>
            </w:r>
            <w:r w:rsidR="00DE31BE" w:rsidRPr="00DA6CD4">
              <w:rPr>
                <w:rFonts w:cstheme="minorHAnsi"/>
              </w:rPr>
              <w:t xml:space="preserve"> to indemnified as limited liability already agreed in contract, insurance option can be offered if customer required.  </w:t>
            </w:r>
          </w:p>
          <w:p w:rsidR="007E6DB5" w:rsidRPr="00DA6CD4" w:rsidRDefault="007E6DB5" w:rsidP="00B7620E">
            <w:pPr>
              <w:numPr>
                <w:ilvl w:val="0"/>
                <w:numId w:val="2"/>
              </w:numPr>
              <w:tabs>
                <w:tab w:val="clear" w:pos="720"/>
                <w:tab w:val="num" w:pos="522"/>
              </w:tabs>
              <w:spacing w:before="120" w:after="120" w:line="300" w:lineRule="atLeast"/>
              <w:ind w:left="522" w:right="162"/>
              <w:jc w:val="both"/>
              <w:rPr>
                <w:rFonts w:cstheme="minorHAnsi"/>
              </w:rPr>
            </w:pPr>
            <w:r w:rsidRPr="00DA6CD4">
              <w:rPr>
                <w:rFonts w:cstheme="minorHAnsi"/>
              </w:rPr>
              <w:t>If customer opted to insure the shipment the insurance form should be properly completed with the customer's information and should be duly signed by the shipper.</w:t>
            </w:r>
          </w:p>
          <w:p w:rsidR="007E6DB5" w:rsidRPr="00DA6CD4" w:rsidRDefault="007E6DB5" w:rsidP="00B7620E">
            <w:pPr>
              <w:numPr>
                <w:ilvl w:val="0"/>
                <w:numId w:val="2"/>
              </w:numPr>
              <w:tabs>
                <w:tab w:val="clear" w:pos="720"/>
                <w:tab w:val="num" w:pos="522"/>
              </w:tabs>
              <w:spacing w:before="120" w:after="120" w:line="300" w:lineRule="atLeast"/>
              <w:ind w:left="522" w:right="162"/>
              <w:jc w:val="both"/>
              <w:rPr>
                <w:rFonts w:cstheme="minorHAnsi"/>
              </w:rPr>
            </w:pPr>
            <w:r w:rsidRPr="00DA6CD4">
              <w:rPr>
                <w:rFonts w:cstheme="minorHAnsi"/>
              </w:rPr>
              <w:t xml:space="preserve">If </w:t>
            </w:r>
            <w:r w:rsidR="00DE31BE" w:rsidRPr="00DA6CD4">
              <w:rPr>
                <w:rFonts w:cstheme="minorHAnsi"/>
              </w:rPr>
              <w:t xml:space="preserve">cash </w:t>
            </w:r>
            <w:r w:rsidRPr="00DA6CD4">
              <w:rPr>
                <w:rFonts w:cstheme="minorHAnsi"/>
              </w:rPr>
              <w:t>customer opted not to insure the shipment the indemnity form should be filled up and signed by the customer.</w:t>
            </w:r>
          </w:p>
          <w:p w:rsidR="007E6DB5" w:rsidRDefault="00DE31BE" w:rsidP="00B7620E">
            <w:pPr>
              <w:numPr>
                <w:ilvl w:val="0"/>
                <w:numId w:val="2"/>
              </w:numPr>
              <w:tabs>
                <w:tab w:val="clear" w:pos="720"/>
                <w:tab w:val="num" w:pos="522"/>
              </w:tabs>
              <w:spacing w:before="120" w:after="120" w:line="300" w:lineRule="atLeast"/>
              <w:ind w:left="522" w:right="162"/>
              <w:jc w:val="both"/>
              <w:rPr>
                <w:rFonts w:cstheme="minorHAnsi"/>
              </w:rPr>
            </w:pPr>
            <w:r w:rsidRPr="00DA6CD4">
              <w:rPr>
                <w:rFonts w:cstheme="minorHAnsi"/>
              </w:rPr>
              <w:t xml:space="preserve">Operation staff </w:t>
            </w:r>
            <w:r w:rsidR="007E6DB5" w:rsidRPr="00DA6CD4">
              <w:rPr>
                <w:rFonts w:cstheme="minorHAnsi"/>
              </w:rPr>
              <w:t>is liable for any claims resulting to damages or lost of</w:t>
            </w:r>
            <w:r w:rsidRPr="00DA6CD4">
              <w:rPr>
                <w:rFonts w:cstheme="minorHAnsi"/>
              </w:rPr>
              <w:t xml:space="preserve"> cash customers</w:t>
            </w:r>
            <w:r w:rsidR="00B7620E">
              <w:rPr>
                <w:rFonts w:cstheme="minorHAnsi"/>
              </w:rPr>
              <w:t>’</w:t>
            </w:r>
            <w:r w:rsidR="007E6DB5" w:rsidRPr="00DA6CD4">
              <w:rPr>
                <w:rFonts w:cstheme="minorHAnsi"/>
              </w:rPr>
              <w:t xml:space="preserve"> shipments which were not insured or indemnified.</w:t>
            </w:r>
          </w:p>
          <w:p w:rsidR="00B7620E" w:rsidRPr="00DA6CD4" w:rsidRDefault="00B7620E" w:rsidP="00B7620E">
            <w:pPr>
              <w:spacing w:before="120" w:after="120" w:line="300" w:lineRule="atLeast"/>
              <w:ind w:left="522" w:right="162"/>
              <w:jc w:val="both"/>
              <w:rPr>
                <w:rFonts w:cstheme="minorHAnsi"/>
              </w:rPr>
            </w:pPr>
          </w:p>
        </w:tc>
      </w:tr>
    </w:tbl>
    <w:p w:rsidR="007E6DB5" w:rsidRPr="002928E9" w:rsidRDefault="007E6DB5"/>
    <w:p w:rsidR="0092237F" w:rsidRDefault="004247CA"/>
    <w:sectPr w:rsidR="0092237F" w:rsidSect="00DA6CD4">
      <w:headerReference w:type="default" r:id="rId7"/>
      <w:footerReference w:type="default" r:id="rId8"/>
      <w:pgSz w:w="12240" w:h="15840"/>
      <w:pgMar w:top="1440" w:right="117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8D9" w:rsidRDefault="00F308D9" w:rsidP="007E6DB5">
      <w:pPr>
        <w:spacing w:after="0" w:line="240" w:lineRule="auto"/>
      </w:pPr>
      <w:r>
        <w:separator/>
      </w:r>
    </w:p>
  </w:endnote>
  <w:endnote w:type="continuationSeparator" w:id="0">
    <w:p w:rsidR="00F308D9" w:rsidRDefault="00F308D9" w:rsidP="007E6D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8C6" w:rsidRPr="00DA6CD4" w:rsidRDefault="00DA6CD4" w:rsidP="00DA6CD4">
    <w:pPr>
      <w:pStyle w:val="Footer"/>
      <w:tabs>
        <w:tab w:val="clear" w:pos="8640"/>
        <w:tab w:val="right" w:pos="9270"/>
      </w:tabs>
      <w:jc w:val="right"/>
      <w:rPr>
        <w:rFonts w:asciiTheme="minorHAnsi" w:hAnsiTheme="minorHAnsi" w:cstheme="minorHAnsi"/>
        <w:sz w:val="20"/>
      </w:rPr>
    </w:pPr>
    <w:r w:rsidRPr="00DA6CD4">
      <w:rPr>
        <w:rFonts w:asciiTheme="minorHAnsi" w:hAnsiTheme="minorHAnsi" w:cstheme="minorHAnsi"/>
        <w:sz w:val="20"/>
      </w:rPr>
      <w:t xml:space="preserve">Page </w:t>
    </w:r>
    <w:r w:rsidR="004E0E92" w:rsidRPr="00DA6CD4">
      <w:rPr>
        <w:rFonts w:asciiTheme="minorHAnsi" w:hAnsiTheme="minorHAnsi" w:cstheme="minorHAnsi"/>
        <w:b/>
        <w:sz w:val="20"/>
      </w:rPr>
      <w:fldChar w:fldCharType="begin"/>
    </w:r>
    <w:r w:rsidRPr="00DA6CD4">
      <w:rPr>
        <w:rFonts w:asciiTheme="minorHAnsi" w:hAnsiTheme="minorHAnsi" w:cstheme="minorHAnsi"/>
        <w:b/>
        <w:sz w:val="20"/>
      </w:rPr>
      <w:instrText xml:space="preserve"> PAGE </w:instrText>
    </w:r>
    <w:r w:rsidR="004E0E92" w:rsidRPr="00DA6CD4">
      <w:rPr>
        <w:rFonts w:asciiTheme="minorHAnsi" w:hAnsiTheme="minorHAnsi" w:cstheme="minorHAnsi"/>
        <w:b/>
        <w:sz w:val="20"/>
      </w:rPr>
      <w:fldChar w:fldCharType="separate"/>
    </w:r>
    <w:r w:rsidR="004247CA">
      <w:rPr>
        <w:rFonts w:asciiTheme="minorHAnsi" w:hAnsiTheme="minorHAnsi" w:cstheme="minorHAnsi"/>
        <w:b/>
        <w:noProof/>
        <w:sz w:val="20"/>
      </w:rPr>
      <w:t>1</w:t>
    </w:r>
    <w:r w:rsidR="004E0E92" w:rsidRPr="00DA6CD4">
      <w:rPr>
        <w:rFonts w:asciiTheme="minorHAnsi" w:hAnsiTheme="minorHAnsi" w:cstheme="minorHAnsi"/>
        <w:b/>
        <w:sz w:val="20"/>
      </w:rPr>
      <w:fldChar w:fldCharType="end"/>
    </w:r>
    <w:r w:rsidRPr="00DA6CD4">
      <w:rPr>
        <w:rFonts w:asciiTheme="minorHAnsi" w:hAnsiTheme="minorHAnsi" w:cstheme="minorHAnsi"/>
        <w:sz w:val="20"/>
      </w:rPr>
      <w:t xml:space="preserve"> of </w:t>
    </w:r>
    <w:r w:rsidR="004E0E92" w:rsidRPr="00DA6CD4">
      <w:rPr>
        <w:rFonts w:asciiTheme="minorHAnsi" w:hAnsiTheme="minorHAnsi" w:cstheme="minorHAnsi"/>
        <w:b/>
        <w:sz w:val="20"/>
      </w:rPr>
      <w:fldChar w:fldCharType="begin"/>
    </w:r>
    <w:r w:rsidRPr="00DA6CD4">
      <w:rPr>
        <w:rFonts w:asciiTheme="minorHAnsi" w:hAnsiTheme="minorHAnsi" w:cstheme="minorHAnsi"/>
        <w:b/>
        <w:sz w:val="20"/>
      </w:rPr>
      <w:instrText xml:space="preserve"> NUMPAGES  </w:instrText>
    </w:r>
    <w:r w:rsidR="004E0E92" w:rsidRPr="00DA6CD4">
      <w:rPr>
        <w:rFonts w:asciiTheme="minorHAnsi" w:hAnsiTheme="minorHAnsi" w:cstheme="minorHAnsi"/>
        <w:b/>
        <w:sz w:val="20"/>
      </w:rPr>
      <w:fldChar w:fldCharType="separate"/>
    </w:r>
    <w:r w:rsidR="004247CA">
      <w:rPr>
        <w:rFonts w:asciiTheme="minorHAnsi" w:hAnsiTheme="minorHAnsi" w:cstheme="minorHAnsi"/>
        <w:b/>
        <w:noProof/>
        <w:sz w:val="20"/>
      </w:rPr>
      <w:t>2</w:t>
    </w:r>
    <w:r w:rsidR="004E0E92" w:rsidRPr="00DA6CD4">
      <w:rPr>
        <w:rFonts w:asciiTheme="minorHAnsi" w:hAnsiTheme="minorHAnsi" w:cstheme="minorHAnsi"/>
        <w:b/>
        <w:sz w:val="20"/>
      </w:rPr>
      <w:fldChar w:fldCharType="end"/>
    </w:r>
    <w:r w:rsidRPr="00DA6CD4">
      <w:rPr>
        <w:rFonts w:asciiTheme="minorHAnsi" w:hAnsiTheme="minorHAnsi" w:cstheme="minorHAnsi"/>
        <w:b/>
        <w:sz w:val="20"/>
      </w:rPr>
      <w:t xml:space="preserve"> </w:t>
    </w:r>
    <w:r w:rsidRPr="00DA6CD4">
      <w:rPr>
        <w:rFonts w:asciiTheme="minorHAnsi" w:hAnsiTheme="minorHAnsi" w:cstheme="minorHAnsi"/>
        <w:sz w:val="20"/>
      </w:rPr>
      <w:ptab w:relativeTo="margin" w:alignment="center" w:leader="none"/>
    </w:r>
    <w:r w:rsidRPr="00DA6CD4">
      <w:rPr>
        <w:rFonts w:asciiTheme="minorHAnsi" w:hAnsiTheme="minorHAnsi" w:cstheme="minorHAnsi"/>
        <w:sz w:val="20"/>
      </w:rPr>
      <w:t>Uncontrolled copy if printed</w:t>
    </w:r>
    <w:r w:rsidRPr="00DA6CD4">
      <w:rPr>
        <w:rFonts w:asciiTheme="minorHAnsi" w:hAnsiTheme="minorHAnsi" w:cstheme="minorHAnsi"/>
        <w:sz w:val="20"/>
      </w:rPr>
      <w:ptab w:relativeTo="margin" w:alignment="right" w:leader="none"/>
    </w:r>
    <w:r w:rsidRPr="00DA6CD4">
      <w:rPr>
        <w:rFonts w:asciiTheme="minorHAnsi" w:hAnsiTheme="minorHAnsi" w:cstheme="minorHAnsi"/>
        <w:sz w:val="20"/>
      </w:rPr>
      <w:t xml:space="preserve">Document No. </w:t>
    </w:r>
    <w:r w:rsidR="004247CA">
      <w:rPr>
        <w:rFonts w:asciiTheme="minorHAnsi" w:hAnsiTheme="minorHAnsi" w:cstheme="minorHAnsi"/>
        <w:sz w:val="20"/>
      </w:rPr>
      <w:t>3502</w:t>
    </w:r>
  </w:p>
  <w:p w:rsidR="00DA6CD4" w:rsidRPr="00DA6CD4" w:rsidRDefault="00DA6CD4" w:rsidP="00DA6CD4">
    <w:pPr>
      <w:pStyle w:val="Footer"/>
      <w:tabs>
        <w:tab w:val="clear" w:pos="8640"/>
        <w:tab w:val="right" w:pos="9270"/>
      </w:tabs>
      <w:ind w:right="-630"/>
      <w:rPr>
        <w:rFonts w:asciiTheme="minorHAnsi" w:hAnsiTheme="minorHAnsi" w:cstheme="minorHAnsi"/>
        <w:sz w:val="20"/>
      </w:rPr>
    </w:pPr>
    <w:r w:rsidRPr="00DA6CD4">
      <w:rPr>
        <w:rFonts w:asciiTheme="minorHAnsi" w:hAnsiTheme="minorHAnsi" w:cstheme="minorHAnsi"/>
        <w:sz w:val="20"/>
      </w:rPr>
      <w:tab/>
    </w:r>
    <w:r w:rsidRPr="00DA6CD4">
      <w:rPr>
        <w:rFonts w:asciiTheme="minorHAnsi" w:hAnsiTheme="minorHAnsi" w:cstheme="minorHAnsi"/>
        <w:sz w:val="20"/>
      </w:rPr>
      <w:tab/>
      <w:t>Version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8D9" w:rsidRDefault="00F308D9" w:rsidP="007E6DB5">
      <w:pPr>
        <w:spacing w:after="0" w:line="240" w:lineRule="auto"/>
      </w:pPr>
      <w:r>
        <w:separator/>
      </w:r>
    </w:p>
  </w:footnote>
  <w:footnote w:type="continuationSeparator" w:id="0">
    <w:p w:rsidR="00F308D9" w:rsidRDefault="00F308D9" w:rsidP="007E6D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80" w:type="dxa"/>
      <w:tblInd w:w="-432" w:type="dxa"/>
      <w:tblLook w:val="04A0"/>
    </w:tblPr>
    <w:tblGrid>
      <w:gridCol w:w="4230"/>
      <w:gridCol w:w="5850"/>
    </w:tblGrid>
    <w:tr w:rsidR="001928C6" w:rsidRPr="003069FB" w:rsidTr="00DA6CD4">
      <w:tc>
        <w:tcPr>
          <w:tcW w:w="4230" w:type="dxa"/>
        </w:tcPr>
        <w:p w:rsidR="001928C6" w:rsidRPr="003069FB" w:rsidRDefault="00DA6CD4" w:rsidP="006754AB">
          <w:pPr>
            <w:pStyle w:val="Header"/>
            <w:rPr>
              <w:b/>
              <w:noProof/>
              <w:sz w:val="28"/>
              <w:szCs w:val="28"/>
            </w:rPr>
          </w:pPr>
          <w:r>
            <w:rPr>
              <w:rFonts w:ascii="Calibri" w:hAnsi="Calibri"/>
              <w:noProof/>
            </w:rPr>
            <w:drawing>
              <wp:anchor distT="0" distB="0" distL="114300" distR="114300" simplePos="0" relativeHeight="251658240" behindDoc="1" locked="0" layoutInCell="1" allowOverlap="1">
                <wp:simplePos x="0" y="0"/>
                <wp:positionH relativeFrom="column">
                  <wp:posOffset>-1811020</wp:posOffset>
                </wp:positionH>
                <wp:positionV relativeFrom="paragraph">
                  <wp:posOffset>0</wp:posOffset>
                </wp:positionV>
                <wp:extent cx="1558290" cy="609600"/>
                <wp:effectExtent l="19050" t="0" r="3810" b="0"/>
                <wp:wrapTight wrapText="bothSides">
                  <wp:wrapPolygon edited="0">
                    <wp:start x="264" y="0"/>
                    <wp:lineTo x="-264" y="3375"/>
                    <wp:lineTo x="-264" y="12150"/>
                    <wp:lineTo x="11355" y="20925"/>
                    <wp:lineTo x="12939" y="20925"/>
                    <wp:lineTo x="14523" y="20925"/>
                    <wp:lineTo x="19540" y="20925"/>
                    <wp:lineTo x="21653" y="18225"/>
                    <wp:lineTo x="21653" y="9450"/>
                    <wp:lineTo x="20597" y="0"/>
                    <wp:lineTo x="264" y="0"/>
                  </wp:wrapPolygon>
                </wp:wrapTight>
                <wp:docPr id="2" name="Picture 0" descr="official smsa logo 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smsa logo en.png"/>
                        <pic:cNvPicPr/>
                      </pic:nvPicPr>
                      <pic:blipFill>
                        <a:blip r:embed="rId1"/>
                        <a:stretch>
                          <a:fillRect/>
                        </a:stretch>
                      </pic:blipFill>
                      <pic:spPr>
                        <a:xfrm>
                          <a:off x="0" y="0"/>
                          <a:ext cx="1558290" cy="609600"/>
                        </a:xfrm>
                        <a:prstGeom prst="rect">
                          <a:avLst/>
                        </a:prstGeom>
                      </pic:spPr>
                    </pic:pic>
                  </a:graphicData>
                </a:graphic>
              </wp:anchor>
            </w:drawing>
          </w:r>
        </w:p>
      </w:tc>
      <w:tc>
        <w:tcPr>
          <w:tcW w:w="5850" w:type="dxa"/>
        </w:tcPr>
        <w:p w:rsidR="001928C6" w:rsidRPr="00524C73" w:rsidRDefault="00D168A1" w:rsidP="000714E3">
          <w:pPr>
            <w:pStyle w:val="Header"/>
            <w:jc w:val="right"/>
            <w:rPr>
              <w:rFonts w:ascii="Calibri" w:hAnsi="Calibri"/>
              <w:b/>
              <w:noProof/>
            </w:rPr>
          </w:pPr>
          <w:r>
            <w:rPr>
              <w:rFonts w:ascii="Calibri" w:hAnsi="Calibri"/>
              <w:b/>
              <w:noProof/>
              <w:sz w:val="32"/>
            </w:rPr>
            <w:t xml:space="preserve">    </w:t>
          </w:r>
          <w:r w:rsidR="007E6DB5">
            <w:rPr>
              <w:rFonts w:ascii="Calibri" w:hAnsi="Calibri"/>
              <w:b/>
              <w:noProof/>
              <w:sz w:val="32"/>
            </w:rPr>
            <w:t>Shipment Insurance Policy</w:t>
          </w:r>
        </w:p>
        <w:p w:rsidR="001928C6" w:rsidRPr="00DA6CD4" w:rsidRDefault="00D168A1" w:rsidP="00DA6CD4">
          <w:pPr>
            <w:pStyle w:val="Header"/>
            <w:jc w:val="right"/>
            <w:rPr>
              <w:rFonts w:ascii="Calibri" w:hAnsi="Calibri"/>
              <w:noProof/>
            </w:rPr>
          </w:pPr>
          <w:r>
            <w:rPr>
              <w:rFonts w:ascii="Calibri" w:hAnsi="Calibri"/>
              <w:noProof/>
            </w:rPr>
            <w:t xml:space="preserve">           </w:t>
          </w:r>
          <w:r w:rsidR="00DA6CD4">
            <w:rPr>
              <w:rFonts w:ascii="Calibri" w:hAnsi="Calibri"/>
              <w:noProof/>
            </w:rPr>
            <w:t xml:space="preserve">               </w:t>
          </w:r>
          <w:r w:rsidRPr="00DA6CD4">
            <w:rPr>
              <w:rFonts w:ascii="Calibri" w:hAnsi="Calibri"/>
              <w:noProof/>
              <w:sz w:val="22"/>
            </w:rPr>
            <w:t>Owner</w:t>
          </w:r>
          <w:r w:rsidR="00DA6CD4" w:rsidRPr="00DA6CD4">
            <w:rPr>
              <w:rFonts w:ascii="Calibri" w:hAnsi="Calibri"/>
              <w:noProof/>
              <w:sz w:val="22"/>
            </w:rPr>
            <w:t>/</w:t>
          </w:r>
          <w:r w:rsidRPr="00DA6CD4">
            <w:rPr>
              <w:rFonts w:ascii="Calibri" w:hAnsi="Calibri"/>
              <w:noProof/>
              <w:sz w:val="22"/>
            </w:rPr>
            <w:t xml:space="preserve">Department: </w:t>
          </w:r>
          <w:r w:rsidR="00DA6CD4" w:rsidRPr="00DA6CD4">
            <w:rPr>
              <w:rFonts w:ascii="Calibri" w:hAnsi="Calibri"/>
              <w:noProof/>
              <w:sz w:val="22"/>
            </w:rPr>
            <w:t xml:space="preserve">IBU – UAE </w:t>
          </w:r>
          <w:r w:rsidR="007E6DB5" w:rsidRPr="00DA6CD4">
            <w:rPr>
              <w:rFonts w:ascii="Calibri" w:hAnsi="Calibri"/>
              <w:noProof/>
              <w:sz w:val="22"/>
            </w:rPr>
            <w:t>Operation</w:t>
          </w:r>
          <w:r w:rsidR="00DA6CD4" w:rsidRPr="00DA6CD4">
            <w:rPr>
              <w:rFonts w:ascii="Calibri" w:hAnsi="Calibri"/>
              <w:noProof/>
              <w:sz w:val="22"/>
            </w:rPr>
            <w:t>s</w:t>
          </w:r>
        </w:p>
      </w:tc>
    </w:tr>
  </w:tbl>
  <w:p w:rsidR="00742F0D" w:rsidRDefault="004247CA" w:rsidP="00DA6C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21E5"/>
    <w:multiLevelType w:val="hybridMultilevel"/>
    <w:tmpl w:val="2D9E83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0270B0C"/>
    <w:multiLevelType w:val="hybridMultilevel"/>
    <w:tmpl w:val="00F4D5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1CphveQ+cFS525tczwoOQleE9dE=" w:salt="GuQ5LMD4LxMIfDUgYXYBWA=="/>
  <w:defaultTabStop w:val="720"/>
  <w:characterSpacingControl w:val="doNotCompress"/>
  <w:hdrShapeDefaults>
    <o:shapedefaults v:ext="edit" spidmax="6145"/>
  </w:hdrShapeDefaults>
  <w:footnotePr>
    <w:footnote w:id="-1"/>
    <w:footnote w:id="0"/>
  </w:footnotePr>
  <w:endnotePr>
    <w:endnote w:id="-1"/>
    <w:endnote w:id="0"/>
  </w:endnotePr>
  <w:compat/>
  <w:rsids>
    <w:rsidRoot w:val="007E6DB5"/>
    <w:rsid w:val="001C0731"/>
    <w:rsid w:val="002366C5"/>
    <w:rsid w:val="00363957"/>
    <w:rsid w:val="004247CA"/>
    <w:rsid w:val="004E0E92"/>
    <w:rsid w:val="005A6ACD"/>
    <w:rsid w:val="007E6DB5"/>
    <w:rsid w:val="008C276B"/>
    <w:rsid w:val="00B42FFF"/>
    <w:rsid w:val="00B7620E"/>
    <w:rsid w:val="00BD4EE1"/>
    <w:rsid w:val="00CA5A40"/>
    <w:rsid w:val="00D168A1"/>
    <w:rsid w:val="00DA6CD4"/>
    <w:rsid w:val="00DE31BE"/>
    <w:rsid w:val="00F247AD"/>
    <w:rsid w:val="00F308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F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6DB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E6DB5"/>
    <w:rPr>
      <w:rFonts w:ascii="Times New Roman" w:eastAsia="Times New Roman" w:hAnsi="Times New Roman" w:cs="Times New Roman"/>
      <w:sz w:val="24"/>
      <w:szCs w:val="24"/>
    </w:rPr>
  </w:style>
  <w:style w:type="paragraph" w:styleId="Footer">
    <w:name w:val="footer"/>
    <w:basedOn w:val="Normal"/>
    <w:link w:val="FooterChar"/>
    <w:uiPriority w:val="99"/>
    <w:rsid w:val="007E6DB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E6DB5"/>
    <w:rPr>
      <w:rFonts w:ascii="Times New Roman" w:eastAsia="Times New Roman" w:hAnsi="Times New Roman" w:cs="Times New Roman"/>
      <w:sz w:val="24"/>
      <w:szCs w:val="24"/>
    </w:rPr>
  </w:style>
  <w:style w:type="character" w:styleId="Strong">
    <w:name w:val="Strong"/>
    <w:basedOn w:val="DefaultParagraphFont"/>
    <w:qFormat/>
    <w:rsid w:val="007E6DB5"/>
    <w:rPr>
      <w:b/>
      <w:bCs/>
    </w:rPr>
  </w:style>
  <w:style w:type="paragraph" w:styleId="BalloonText">
    <w:name w:val="Balloon Text"/>
    <w:basedOn w:val="Normal"/>
    <w:link w:val="BalloonTextChar"/>
    <w:uiPriority w:val="99"/>
    <w:semiHidden/>
    <w:unhideWhenUsed/>
    <w:rsid w:val="00DA6C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C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411</Words>
  <Characters>2344</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Anushka N. Kannangara</dc:creator>
  <cp:lastModifiedBy>Edwin Ramos</cp:lastModifiedBy>
  <cp:revision>3</cp:revision>
  <dcterms:created xsi:type="dcterms:W3CDTF">2017-11-28T06:49:00Z</dcterms:created>
  <dcterms:modified xsi:type="dcterms:W3CDTF">2017-11-28T06:56:00Z</dcterms:modified>
</cp:coreProperties>
</file>