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711577F4" w14:textId="77777777" w:rsidTr="00980C86">
        <w:tc>
          <w:tcPr>
            <w:tcW w:w="1980" w:type="dxa"/>
          </w:tcPr>
          <w:p w14:paraId="4FC11991"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3DFEBFEB" w14:textId="77777777" w:rsidR="003050B7" w:rsidRPr="002474D7" w:rsidRDefault="002474D7" w:rsidP="002474D7">
            <w:pPr>
              <w:spacing w:before="120" w:after="120"/>
              <w:ind w:left="72" w:right="162"/>
              <w:jc w:val="both"/>
              <w:rPr>
                <w:rFonts w:ascii="Calibri" w:hAnsi="Calibri"/>
                <w:lang w:val="en-IN"/>
              </w:rPr>
            </w:pPr>
            <w:r w:rsidRPr="002474D7">
              <w:rPr>
                <w:rFonts w:ascii="Calibri" w:hAnsi="Calibri"/>
                <w:lang w:val="en-IN"/>
              </w:rPr>
              <w:t>This policy aims to ensure the continuity of information security management during adverse situations, as well as the availability of information systems.</w:t>
            </w:r>
          </w:p>
        </w:tc>
      </w:tr>
      <w:tr w:rsidR="003050B7" w:rsidRPr="002928E9" w14:paraId="43CC5ACB" w14:textId="77777777" w:rsidTr="00980C86">
        <w:tc>
          <w:tcPr>
            <w:tcW w:w="1980" w:type="dxa"/>
          </w:tcPr>
          <w:p w14:paraId="5FA7C6D2"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428357CE" w14:textId="77777777"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FF2CEB">
              <w:rPr>
                <w:rFonts w:ascii="Calibri" w:hAnsi="Calibri"/>
                <w:lang w:val="en-IN"/>
              </w:rPr>
              <w:t>1</w:t>
            </w:r>
            <w:r w:rsidR="002474D7">
              <w:rPr>
                <w:rFonts w:ascii="Calibri" w:hAnsi="Calibri"/>
                <w:lang w:val="en-IN"/>
              </w:rPr>
              <w:t>7</w:t>
            </w:r>
          </w:p>
        </w:tc>
      </w:tr>
      <w:tr w:rsidR="003050B7" w:rsidRPr="002928E9" w14:paraId="5DD6994A" w14:textId="77777777" w:rsidTr="00980C86">
        <w:tc>
          <w:tcPr>
            <w:tcW w:w="1980" w:type="dxa"/>
          </w:tcPr>
          <w:p w14:paraId="11C3F93D"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263D4452" w14:textId="77777777" w:rsidR="004E7314" w:rsidRPr="004E7314" w:rsidRDefault="004E7314" w:rsidP="004E7314">
            <w:pPr>
              <w:spacing w:before="120" w:after="120"/>
              <w:ind w:left="72" w:right="162"/>
              <w:jc w:val="both"/>
              <w:rPr>
                <w:rFonts w:ascii="Calibri" w:hAnsi="Calibri" w:cs="Tahoma"/>
                <w:lang w:val="en-IN"/>
              </w:rPr>
            </w:pPr>
            <w:r w:rsidRPr="004E7314">
              <w:rPr>
                <w:rFonts w:ascii="Calibri" w:hAnsi="Calibri" w:cs="Tahoma"/>
                <w:lang w:val="en-IN"/>
              </w:rPr>
              <w:t>This policy is applicable to:</w:t>
            </w:r>
          </w:p>
          <w:p w14:paraId="1772C93F"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All IT supported business processes and IT operations,</w:t>
            </w:r>
          </w:p>
          <w:p w14:paraId="299F25FE"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Information assets hosted by or on behalf of SMSA,</w:t>
            </w:r>
          </w:p>
          <w:p w14:paraId="59814C47"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Employees of SMSA and,</w:t>
            </w:r>
          </w:p>
          <w:p w14:paraId="505812D0" w14:textId="77777777" w:rsidR="003050B7" w:rsidRPr="004E7314" w:rsidRDefault="004E7314" w:rsidP="004E7314">
            <w:pPr>
              <w:numPr>
                <w:ilvl w:val="0"/>
                <w:numId w:val="3"/>
              </w:numPr>
              <w:spacing w:before="120" w:after="120"/>
              <w:ind w:right="162"/>
              <w:jc w:val="both"/>
              <w:rPr>
                <w:rStyle w:val="Strong"/>
                <w:rFonts w:ascii="Calibri" w:hAnsi="Calibri" w:cs="Tahoma"/>
                <w:b w:val="0"/>
                <w:bCs w:val="0"/>
                <w:lang w:val="en-IN"/>
              </w:rPr>
            </w:pPr>
            <w:r w:rsidRPr="004E7314">
              <w:rPr>
                <w:rFonts w:ascii="Calibri" w:hAnsi="Calibri" w:cs="Tahoma"/>
                <w:lang w:val="en-IN"/>
              </w:rPr>
              <w:t>Third parties supporting IT operations</w:t>
            </w:r>
          </w:p>
        </w:tc>
      </w:tr>
      <w:tr w:rsidR="003050B7" w:rsidRPr="002928E9" w14:paraId="241E599C" w14:textId="77777777" w:rsidTr="00980C86">
        <w:tc>
          <w:tcPr>
            <w:tcW w:w="1980" w:type="dxa"/>
          </w:tcPr>
          <w:p w14:paraId="0CC3A306"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04A4DB62" w14:textId="38D4841D" w:rsidR="004E7314" w:rsidRPr="004E7314" w:rsidRDefault="004E7314" w:rsidP="000766D5">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4380DF7F"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420ADB03"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3580CDB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295FE3B5"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5EAF5983"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0809F0BA"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0064C5E6"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3508B01E"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29594525"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60BE60ED"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02993EB1"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4C06B091"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37B08139"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095A2A52"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6316519F"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Implementing and enforcing the relevant portions of the policies within their functions.</w:t>
            </w:r>
          </w:p>
          <w:p w14:paraId="6A4625B0" w14:textId="77777777" w:rsidR="0093200A" w:rsidRPr="0093200A" w:rsidRDefault="0093200A" w:rsidP="0093200A">
            <w:pPr>
              <w:spacing w:after="240"/>
              <w:ind w:right="162"/>
              <w:jc w:val="both"/>
              <w:rPr>
                <w:rFonts w:ascii="Calibri" w:hAnsi="Calibri" w:cs="Tahoma"/>
                <w:lang w:val="en-IN"/>
              </w:rPr>
            </w:pPr>
            <w:r>
              <w:rPr>
                <w:rFonts w:ascii="Calibri" w:hAnsi="Calibri" w:cs="Tahoma"/>
                <w:lang w:val="en-IN"/>
              </w:rPr>
              <w:t>Employees &amp; Contractors – Comply to policies</w:t>
            </w:r>
          </w:p>
          <w:p w14:paraId="2020C47B"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lastRenderedPageBreak/>
              <w:t xml:space="preserve">Managing Director – Approval of any exceptions to the policy. </w:t>
            </w:r>
          </w:p>
        </w:tc>
      </w:tr>
      <w:tr w:rsidR="003050B7" w:rsidRPr="002928E9" w14:paraId="22224EDB" w14:textId="77777777" w:rsidTr="00980C86">
        <w:tc>
          <w:tcPr>
            <w:tcW w:w="1980" w:type="dxa"/>
          </w:tcPr>
          <w:p w14:paraId="3B606E9E" w14:textId="77777777" w:rsidR="003050B7" w:rsidRPr="00980C86" w:rsidRDefault="003050B7" w:rsidP="007419E0">
            <w:pPr>
              <w:spacing w:before="120" w:after="0"/>
              <w:rPr>
                <w:rFonts w:ascii="Calibri" w:hAnsi="Calibri"/>
                <w:b/>
                <w:bCs/>
              </w:rPr>
            </w:pPr>
            <w:r w:rsidRPr="00980C86">
              <w:rPr>
                <w:rFonts w:ascii="Calibri" w:hAnsi="Calibri"/>
                <w:b/>
                <w:bCs/>
              </w:rPr>
              <w:lastRenderedPageBreak/>
              <w:t>Guidelines</w:t>
            </w:r>
          </w:p>
        </w:tc>
        <w:tc>
          <w:tcPr>
            <w:tcW w:w="8640" w:type="dxa"/>
          </w:tcPr>
          <w:p w14:paraId="7D807F08" w14:textId="77777777" w:rsidR="00A4449F" w:rsidRDefault="00A4449F" w:rsidP="00293E15">
            <w:pPr>
              <w:ind w:right="162"/>
              <w:jc w:val="both"/>
              <w:rPr>
                <w:rFonts w:ascii="Calibri" w:hAnsi="Calibri" w:cs="Tahoma"/>
                <w:b/>
                <w:bCs/>
                <w:u w:val="single"/>
                <w:lang w:val="en-IN"/>
              </w:rPr>
            </w:pPr>
            <w:r>
              <w:rPr>
                <w:rFonts w:ascii="Calibri" w:hAnsi="Calibri" w:cs="Tahoma"/>
                <w:b/>
                <w:bCs/>
                <w:u w:val="single"/>
                <w:lang w:val="en-IN"/>
              </w:rPr>
              <w:t>1. Policy Statement</w:t>
            </w:r>
          </w:p>
          <w:p w14:paraId="45965BBA" w14:textId="77777777" w:rsidR="00293E15" w:rsidRPr="00FF2CEB" w:rsidRDefault="00293E15" w:rsidP="002474D7">
            <w:pPr>
              <w:ind w:right="162"/>
              <w:rPr>
                <w:rFonts w:ascii="Calibri" w:hAnsi="Calibri" w:cs="Tahoma"/>
                <w:b/>
                <w:bCs/>
                <w:u w:val="single"/>
                <w:lang w:val="en-IN"/>
              </w:rPr>
            </w:pPr>
            <w:r w:rsidRPr="006D1B43">
              <w:rPr>
                <w:rFonts w:ascii="Calibri" w:hAnsi="Calibri" w:cs="Tahoma"/>
                <w:b/>
                <w:bCs/>
                <w:u w:val="single"/>
                <w:lang w:val="en-IN"/>
              </w:rPr>
              <w:t xml:space="preserve">1.1 </w:t>
            </w:r>
            <w:r w:rsidR="002474D7">
              <w:rPr>
                <w:rFonts w:ascii="Calibri" w:hAnsi="Calibri" w:cs="Tahoma"/>
                <w:b/>
                <w:bCs/>
                <w:u w:val="single"/>
                <w:lang w:val="en-IN"/>
              </w:rPr>
              <w:t>Information security continuity</w:t>
            </w:r>
          </w:p>
          <w:p w14:paraId="3449D84C" w14:textId="77777777" w:rsidR="00293E15" w:rsidRPr="00293E15" w:rsidRDefault="00293E15" w:rsidP="002474D7">
            <w:pPr>
              <w:ind w:right="162"/>
              <w:rPr>
                <w:rFonts w:ascii="Calibri" w:hAnsi="Calibri" w:cs="Tahoma"/>
                <w:b/>
                <w:bCs/>
                <w:lang w:val="en-IN"/>
              </w:rPr>
            </w:pPr>
            <w:r>
              <w:rPr>
                <w:rFonts w:ascii="Calibri" w:hAnsi="Calibri" w:cs="Tahoma"/>
                <w:b/>
                <w:bCs/>
                <w:lang w:val="en-IN"/>
              </w:rPr>
              <w:t xml:space="preserve">1.1.1 </w:t>
            </w:r>
            <w:r w:rsidR="002474D7">
              <w:rPr>
                <w:rFonts w:ascii="Calibri" w:hAnsi="Calibri" w:cs="Tahoma"/>
                <w:b/>
                <w:bCs/>
                <w:lang w:val="en-IN"/>
              </w:rPr>
              <w:t>Planning information security continuity</w:t>
            </w:r>
          </w:p>
          <w:p w14:paraId="0FFB9A67"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SMSA</w:t>
            </w:r>
            <w:r>
              <w:rPr>
                <w:rFonts w:ascii="Calibri" w:hAnsi="Calibri" w:cs="Tahoma"/>
                <w:lang w:val="en-IN"/>
              </w:rPr>
              <w:t xml:space="preserve"> </w:t>
            </w:r>
            <w:r w:rsidRPr="002474D7">
              <w:rPr>
                <w:rFonts w:ascii="Calibri" w:hAnsi="Calibri" w:cs="Tahoma"/>
                <w:lang w:val="en-IN"/>
              </w:rPr>
              <w:t>information</w:t>
            </w:r>
            <w:r>
              <w:rPr>
                <w:rFonts w:ascii="Calibri" w:hAnsi="Calibri" w:cs="Tahoma"/>
                <w:lang w:val="en-IN"/>
              </w:rPr>
              <w:t xml:space="preserve"> </w:t>
            </w:r>
            <w:r w:rsidRPr="002474D7">
              <w:rPr>
                <w:rFonts w:ascii="Calibri" w:hAnsi="Calibri" w:cs="Tahoma"/>
                <w:lang w:val="en-IN"/>
              </w:rPr>
              <w:t>security shall have an assessment for risks out of a crisis or disaster.</w:t>
            </w:r>
          </w:p>
          <w:p w14:paraId="425F1D23"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SMSA</w:t>
            </w:r>
            <w:r>
              <w:rPr>
                <w:rFonts w:ascii="Calibri" w:hAnsi="Calibri" w:cs="Tahoma"/>
                <w:lang w:val="en-IN"/>
              </w:rPr>
              <w:t xml:space="preserve"> </w:t>
            </w:r>
            <w:r w:rsidRPr="002474D7">
              <w:rPr>
                <w:rFonts w:ascii="Calibri" w:hAnsi="Calibri" w:cs="Tahoma"/>
                <w:lang w:val="en-IN"/>
              </w:rPr>
              <w:t>information</w:t>
            </w:r>
            <w:r>
              <w:rPr>
                <w:rFonts w:ascii="Calibri" w:hAnsi="Calibri" w:cs="Tahoma"/>
                <w:lang w:val="en-IN"/>
              </w:rPr>
              <w:t xml:space="preserve"> </w:t>
            </w:r>
            <w:r w:rsidRPr="002474D7">
              <w:rPr>
                <w:rFonts w:ascii="Calibri" w:hAnsi="Calibri" w:cs="Tahoma"/>
                <w:lang w:val="en-IN"/>
              </w:rPr>
              <w:t>security shall determine whether the continuity of information security is captured within the business continuity management process or within the disaster recovery management process.</w:t>
            </w:r>
          </w:p>
          <w:p w14:paraId="55ED98A3"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SMSANATIONAL IT MANAGER shall assure Information security requirements are determined when planning for business continuity and disaster recovery.</w:t>
            </w:r>
          </w:p>
          <w:p w14:paraId="170585A6"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In the absence of formal complete business continuity and disaster recovery planning NATIONAL IT MANAGER shall assume that information security requirements remain the same in adverse situations, compared to normal operational conditions.</w:t>
            </w:r>
          </w:p>
          <w:p w14:paraId="49E50260"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SMSA</w:t>
            </w:r>
            <w:r>
              <w:rPr>
                <w:rFonts w:ascii="Calibri" w:hAnsi="Calibri" w:cs="Tahoma"/>
                <w:lang w:val="en-IN"/>
              </w:rPr>
              <w:t xml:space="preserve"> </w:t>
            </w:r>
            <w:r w:rsidRPr="002474D7">
              <w:rPr>
                <w:rFonts w:ascii="Calibri" w:hAnsi="Calibri" w:cs="Tahoma"/>
                <w:lang w:val="en-IN"/>
              </w:rPr>
              <w:t>information</w:t>
            </w:r>
            <w:r>
              <w:rPr>
                <w:rFonts w:ascii="Calibri" w:hAnsi="Calibri" w:cs="Tahoma"/>
                <w:lang w:val="en-IN"/>
              </w:rPr>
              <w:t xml:space="preserve"> </w:t>
            </w:r>
            <w:r w:rsidRPr="002474D7">
              <w:rPr>
                <w:rFonts w:ascii="Calibri" w:hAnsi="Calibri" w:cs="Tahoma"/>
                <w:lang w:val="en-IN"/>
              </w:rPr>
              <w:t>security shall perform a business impact analysis for information security aspects to determine the information security requirements applicable to adverse situations.</w:t>
            </w:r>
          </w:p>
          <w:p w14:paraId="572B5DEF" w14:textId="77777777" w:rsidR="000766D5" w:rsidRPr="000766D5" w:rsidRDefault="002474D7" w:rsidP="002474D7">
            <w:pPr>
              <w:pStyle w:val="ListParagraph"/>
              <w:numPr>
                <w:ilvl w:val="0"/>
                <w:numId w:val="9"/>
              </w:numPr>
              <w:ind w:right="162"/>
              <w:rPr>
                <w:rFonts w:ascii="Calibri" w:hAnsi="Calibri" w:cs="Tahoma"/>
                <w:b/>
                <w:bCs/>
                <w:lang w:val="en-IN"/>
              </w:rPr>
            </w:pPr>
            <w:r w:rsidRPr="000766D5">
              <w:rPr>
                <w:rFonts w:ascii="Calibri" w:hAnsi="Calibri" w:cs="Tahoma"/>
                <w:lang w:val="en-IN"/>
              </w:rPr>
              <w:t>SMSA shall develop BCP.</w:t>
            </w:r>
          </w:p>
          <w:p w14:paraId="175138B8" w14:textId="0E43B960" w:rsidR="00FF2CEB" w:rsidRPr="000766D5" w:rsidRDefault="00FF2CEB" w:rsidP="000766D5">
            <w:pPr>
              <w:ind w:left="360" w:right="162"/>
              <w:rPr>
                <w:rFonts w:ascii="Calibri" w:hAnsi="Calibri" w:cs="Tahoma"/>
                <w:b/>
                <w:bCs/>
                <w:lang w:val="en-IN"/>
              </w:rPr>
            </w:pPr>
            <w:r w:rsidRPr="000766D5">
              <w:rPr>
                <w:rFonts w:ascii="Calibri" w:hAnsi="Calibri" w:cs="Tahoma"/>
                <w:b/>
                <w:bCs/>
                <w:lang w:val="en-IN"/>
              </w:rPr>
              <w:t xml:space="preserve">1.1.2 </w:t>
            </w:r>
            <w:r w:rsidR="002474D7" w:rsidRPr="000766D5">
              <w:rPr>
                <w:rFonts w:ascii="Calibri" w:hAnsi="Calibri" w:cs="Tahoma"/>
                <w:b/>
                <w:bCs/>
                <w:lang w:val="en-IN"/>
              </w:rPr>
              <w:t>Implementing information security continuity</w:t>
            </w:r>
          </w:p>
          <w:p w14:paraId="21F9B39A"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SMSA</w:t>
            </w:r>
            <w:r>
              <w:rPr>
                <w:rFonts w:ascii="Calibri" w:hAnsi="Calibri" w:cs="Tahoma"/>
                <w:lang w:val="en-IN"/>
              </w:rPr>
              <w:t xml:space="preserve"> </w:t>
            </w:r>
            <w:r w:rsidRPr="002474D7">
              <w:rPr>
                <w:rFonts w:ascii="Calibri" w:hAnsi="Calibri" w:cs="Tahoma"/>
                <w:lang w:val="en-IN"/>
              </w:rPr>
              <w:t>information security and IT shall ensure that:</w:t>
            </w:r>
          </w:p>
          <w:p w14:paraId="036BDCBD" w14:textId="77777777" w:rsidR="002474D7" w:rsidRPr="002474D7" w:rsidRDefault="002474D7" w:rsidP="002474D7">
            <w:pPr>
              <w:pStyle w:val="ListParagraph"/>
              <w:numPr>
                <w:ilvl w:val="0"/>
                <w:numId w:val="31"/>
              </w:numPr>
              <w:ind w:right="162"/>
              <w:rPr>
                <w:rFonts w:ascii="Calibri" w:hAnsi="Calibri" w:cs="Tahoma"/>
                <w:lang w:val="en-IN"/>
              </w:rPr>
            </w:pPr>
            <w:r w:rsidRPr="002474D7">
              <w:rPr>
                <w:rFonts w:ascii="Calibri" w:hAnsi="Calibri" w:cs="Tahoma"/>
                <w:lang w:val="en-IN"/>
              </w:rPr>
              <w:t>Adequate management structure is in place to prepare for, mitigate and respond to a disruptive event using personnel with the necessary authority, experience and competence;</w:t>
            </w:r>
          </w:p>
          <w:p w14:paraId="5BFFDE34" w14:textId="77777777" w:rsidR="002474D7" w:rsidRPr="002474D7" w:rsidRDefault="002474D7" w:rsidP="002474D7">
            <w:pPr>
              <w:pStyle w:val="ListParagraph"/>
              <w:numPr>
                <w:ilvl w:val="0"/>
                <w:numId w:val="31"/>
              </w:numPr>
              <w:ind w:right="162"/>
              <w:rPr>
                <w:rFonts w:ascii="Calibri" w:hAnsi="Calibri" w:cs="Tahoma"/>
                <w:lang w:val="en-IN"/>
              </w:rPr>
            </w:pPr>
            <w:r w:rsidRPr="002474D7">
              <w:rPr>
                <w:rFonts w:ascii="Calibri" w:hAnsi="Calibri" w:cs="Tahoma"/>
                <w:lang w:val="en-IN"/>
              </w:rPr>
              <w:t>Incident response personnel with the necessary responsibility, authority and competence to manage an incident and maintain information security are nominated</w:t>
            </w:r>
          </w:p>
          <w:p w14:paraId="01FC5CCB" w14:textId="77777777" w:rsidR="002474D7" w:rsidRPr="002474D7" w:rsidRDefault="002474D7" w:rsidP="002474D7">
            <w:pPr>
              <w:pStyle w:val="ListParagraph"/>
              <w:numPr>
                <w:ilvl w:val="0"/>
                <w:numId w:val="31"/>
              </w:numPr>
              <w:ind w:right="162"/>
              <w:rPr>
                <w:rFonts w:ascii="Calibri" w:hAnsi="Calibri" w:cs="Tahoma"/>
                <w:lang w:val="en-IN"/>
              </w:rPr>
            </w:pPr>
            <w:r w:rsidRPr="002474D7">
              <w:rPr>
                <w:rFonts w:ascii="Calibri" w:hAnsi="Calibri" w:cs="Tahoma"/>
                <w:lang w:val="en-IN"/>
              </w:rPr>
              <w:t>Documented plans, response and recovery procedures are developed and approved, detailing how SMSA will manage a disruptive event and will maintain its information security to a predetermined level, based on management-approved information security continuity objectives</w:t>
            </w:r>
          </w:p>
          <w:p w14:paraId="49807A70"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According to the information security continuity requirements, SMSA should establish, document, implement and maintain:</w:t>
            </w:r>
          </w:p>
          <w:p w14:paraId="60E5F859" w14:textId="77777777" w:rsidR="002474D7" w:rsidRPr="002474D7" w:rsidRDefault="002474D7" w:rsidP="002474D7">
            <w:pPr>
              <w:pStyle w:val="ListParagraph"/>
              <w:numPr>
                <w:ilvl w:val="0"/>
                <w:numId w:val="32"/>
              </w:numPr>
              <w:ind w:right="162"/>
              <w:rPr>
                <w:rFonts w:ascii="Calibri" w:hAnsi="Calibri" w:cs="Tahoma"/>
                <w:lang w:val="en-IN"/>
              </w:rPr>
            </w:pPr>
            <w:r w:rsidRPr="002474D7">
              <w:rPr>
                <w:rFonts w:ascii="Calibri" w:hAnsi="Calibri" w:cs="Tahoma"/>
                <w:lang w:val="en-IN"/>
              </w:rPr>
              <w:t>Information security controls within business continuity or disaster recovery processes, procedures and supporting systems and tools</w:t>
            </w:r>
          </w:p>
          <w:p w14:paraId="7175611F" w14:textId="77777777" w:rsidR="002474D7" w:rsidRPr="002474D7" w:rsidRDefault="002474D7" w:rsidP="002474D7">
            <w:pPr>
              <w:pStyle w:val="ListParagraph"/>
              <w:numPr>
                <w:ilvl w:val="0"/>
                <w:numId w:val="32"/>
              </w:numPr>
              <w:ind w:right="162"/>
              <w:rPr>
                <w:rFonts w:ascii="Calibri" w:hAnsi="Calibri" w:cs="Tahoma"/>
                <w:lang w:val="en-IN"/>
              </w:rPr>
            </w:pPr>
            <w:r w:rsidRPr="002474D7">
              <w:rPr>
                <w:rFonts w:ascii="Calibri" w:hAnsi="Calibri" w:cs="Tahoma"/>
                <w:lang w:val="en-IN"/>
              </w:rPr>
              <w:t>Processes, procedures and implementation changes to maintain existing information security controls during an adverse situation</w:t>
            </w:r>
          </w:p>
          <w:p w14:paraId="3F1BC697" w14:textId="77777777" w:rsidR="002474D7" w:rsidRPr="002474D7" w:rsidRDefault="002474D7" w:rsidP="002474D7">
            <w:pPr>
              <w:pStyle w:val="ListParagraph"/>
              <w:numPr>
                <w:ilvl w:val="0"/>
                <w:numId w:val="32"/>
              </w:numPr>
              <w:ind w:right="162"/>
              <w:rPr>
                <w:rFonts w:ascii="Calibri" w:hAnsi="Calibri" w:cs="Tahoma"/>
                <w:lang w:val="en-IN"/>
              </w:rPr>
            </w:pPr>
            <w:r w:rsidRPr="002474D7">
              <w:rPr>
                <w:rFonts w:ascii="Calibri" w:hAnsi="Calibri" w:cs="Tahoma"/>
                <w:lang w:val="en-IN"/>
              </w:rPr>
              <w:t>Compensating controls for information security controls that cannot be maintained during a normal situation.</w:t>
            </w:r>
          </w:p>
          <w:p w14:paraId="279E7117" w14:textId="77777777" w:rsidR="00FF2CEB" w:rsidRPr="002474D7" w:rsidRDefault="00FF2CEB" w:rsidP="002474D7">
            <w:pPr>
              <w:ind w:right="162"/>
              <w:rPr>
                <w:rFonts w:ascii="Calibri" w:hAnsi="Calibri" w:cs="Tahoma"/>
                <w:b/>
                <w:bCs/>
                <w:lang w:val="en-IN"/>
              </w:rPr>
            </w:pPr>
            <w:r>
              <w:rPr>
                <w:rFonts w:ascii="Calibri" w:hAnsi="Calibri" w:cs="Tahoma"/>
                <w:b/>
                <w:bCs/>
                <w:lang w:val="en-IN"/>
              </w:rPr>
              <w:t>1.1.3</w:t>
            </w:r>
            <w:r w:rsidRPr="00FF2CEB">
              <w:rPr>
                <w:rFonts w:ascii="Calibri" w:hAnsi="Calibri" w:cs="Tahoma"/>
                <w:b/>
                <w:bCs/>
                <w:lang w:val="en-IN"/>
              </w:rPr>
              <w:t xml:space="preserve"> </w:t>
            </w:r>
            <w:r w:rsidR="002474D7" w:rsidRPr="002474D7">
              <w:rPr>
                <w:rFonts w:ascii="Calibri" w:hAnsi="Calibri" w:cs="Tahoma"/>
                <w:b/>
                <w:bCs/>
                <w:lang w:val="en-IN"/>
              </w:rPr>
              <w:t>Verify, review and evaluate information security continuity</w:t>
            </w:r>
          </w:p>
          <w:p w14:paraId="046537DB"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lastRenderedPageBreak/>
              <w:t>SMSA</w:t>
            </w:r>
            <w:r>
              <w:rPr>
                <w:rFonts w:ascii="Calibri" w:hAnsi="Calibri" w:cs="Tahoma"/>
                <w:lang w:val="en-IN"/>
              </w:rPr>
              <w:t xml:space="preserve"> </w:t>
            </w:r>
            <w:r w:rsidRPr="002474D7">
              <w:rPr>
                <w:rFonts w:ascii="Calibri" w:hAnsi="Calibri" w:cs="Tahoma"/>
                <w:lang w:val="en-IN"/>
              </w:rPr>
              <w:t>head shall verify the established and implemented information security continuity controls at regular intervals in order to ensure that they are valid and effective during adverse situations.</w:t>
            </w:r>
          </w:p>
          <w:p w14:paraId="3A1C7E63"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All SMSA organizational, technical, procedural and process changes, shall be assessed for the information security continuity requirements.</w:t>
            </w:r>
          </w:p>
          <w:p w14:paraId="72296DC9"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After changes SMSANATIONAL IT MANAGER shall assess continuity of processes, procedures and controls for information security reviewed against these changed requirements.</w:t>
            </w:r>
          </w:p>
          <w:p w14:paraId="3A659F59"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SMSANATIONAL IT MANAGER should verify continuity and if needed plan should be modified</w:t>
            </w:r>
          </w:p>
          <w:p w14:paraId="679EDF63" w14:textId="77777777" w:rsidR="00FF2CEB" w:rsidRDefault="00E514DA" w:rsidP="002474D7">
            <w:pPr>
              <w:ind w:right="162"/>
              <w:rPr>
                <w:rFonts w:ascii="Calibri" w:hAnsi="Calibri" w:cs="Tahoma"/>
                <w:b/>
                <w:bCs/>
                <w:u w:val="single"/>
                <w:lang w:val="en-IN"/>
              </w:rPr>
            </w:pPr>
            <w:r w:rsidRPr="00E514DA">
              <w:rPr>
                <w:rFonts w:ascii="Calibri" w:hAnsi="Calibri" w:cs="Tahoma"/>
                <w:b/>
                <w:bCs/>
                <w:u w:val="single"/>
                <w:lang w:val="en-IN"/>
              </w:rPr>
              <w:t>1.2</w:t>
            </w:r>
            <w:r w:rsidR="00FF2CEB" w:rsidRPr="00E514DA">
              <w:rPr>
                <w:rFonts w:ascii="Calibri" w:hAnsi="Calibri" w:cs="Tahoma"/>
                <w:b/>
                <w:bCs/>
                <w:u w:val="single"/>
                <w:lang w:val="en-IN"/>
              </w:rPr>
              <w:t xml:space="preserve"> </w:t>
            </w:r>
            <w:r w:rsidR="002474D7">
              <w:rPr>
                <w:rFonts w:ascii="Calibri" w:hAnsi="Calibri" w:cs="Tahoma"/>
                <w:b/>
                <w:bCs/>
                <w:u w:val="single"/>
                <w:lang w:val="en-IN"/>
              </w:rPr>
              <w:t>Redundancies</w:t>
            </w:r>
          </w:p>
          <w:p w14:paraId="54ECD2CC" w14:textId="77777777" w:rsidR="00E514DA" w:rsidRPr="002970C9" w:rsidRDefault="00E514DA" w:rsidP="002474D7">
            <w:pPr>
              <w:ind w:right="162"/>
              <w:rPr>
                <w:rFonts w:ascii="Calibri" w:hAnsi="Calibri" w:cs="Tahoma"/>
                <w:b/>
                <w:bCs/>
                <w:lang w:val="en-IN"/>
              </w:rPr>
            </w:pPr>
            <w:r w:rsidRPr="00E514DA">
              <w:rPr>
                <w:rFonts w:ascii="Calibri" w:hAnsi="Calibri" w:cs="Tahoma"/>
                <w:b/>
                <w:bCs/>
                <w:lang w:val="en-IN"/>
              </w:rPr>
              <w:t>1.2.1</w:t>
            </w:r>
            <w:r>
              <w:rPr>
                <w:rFonts w:ascii="Calibri" w:hAnsi="Calibri" w:cs="Tahoma"/>
                <w:b/>
                <w:bCs/>
                <w:lang w:val="en-IN"/>
              </w:rPr>
              <w:t xml:space="preserve"> </w:t>
            </w:r>
            <w:r w:rsidR="002474D7">
              <w:rPr>
                <w:rFonts w:ascii="Calibri" w:hAnsi="Calibri" w:cs="Tahoma"/>
                <w:b/>
                <w:bCs/>
                <w:lang w:val="en-IN"/>
              </w:rPr>
              <w:t>Availability of information processing facilities</w:t>
            </w:r>
          </w:p>
          <w:p w14:paraId="1C5FC34A"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All SMSA Information processing facilities should be implemented with redundancy sufficient to meet availability requirements.</w:t>
            </w:r>
          </w:p>
          <w:p w14:paraId="20D3A5EE"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SMSA IT and information security shall identify business requirements for the availability of information systems.</w:t>
            </w:r>
          </w:p>
          <w:p w14:paraId="72917034" w14:textId="77777777" w:rsidR="002474D7"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Where the availability cannot be guaranteed using the existing systems architecture, redundant components or architectures should be considered.</w:t>
            </w:r>
          </w:p>
          <w:p w14:paraId="508A6570" w14:textId="77777777" w:rsidR="002970C9" w:rsidRPr="002474D7" w:rsidRDefault="002474D7" w:rsidP="002474D7">
            <w:pPr>
              <w:pStyle w:val="ListParagraph"/>
              <w:numPr>
                <w:ilvl w:val="0"/>
                <w:numId w:val="9"/>
              </w:numPr>
              <w:ind w:right="162"/>
              <w:rPr>
                <w:rFonts w:ascii="Calibri" w:hAnsi="Calibri" w:cs="Tahoma"/>
                <w:lang w:val="en-IN"/>
              </w:rPr>
            </w:pPr>
            <w:r w:rsidRPr="002474D7">
              <w:rPr>
                <w:rFonts w:ascii="Calibri" w:hAnsi="Calibri" w:cs="Tahoma"/>
                <w:lang w:val="en-IN"/>
              </w:rPr>
              <w:t>Where applicable, redundant information systems should be tested to ensure the failover from one component to another component works as intended</w:t>
            </w:r>
          </w:p>
          <w:p w14:paraId="68625EEA" w14:textId="77777777" w:rsidR="00A4449F" w:rsidRPr="00363CE0" w:rsidRDefault="00363CE0"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 xml:space="preserve">2. </w:t>
            </w:r>
            <w:r w:rsidR="00A4449F" w:rsidRPr="00363CE0">
              <w:rPr>
                <w:rFonts w:ascii="Calibri" w:hAnsi="Calibri" w:cs="Tahoma"/>
                <w:b/>
                <w:bCs/>
                <w:u w:val="single"/>
                <w:lang w:val="en-IN"/>
              </w:rPr>
              <w:t>Review Period</w:t>
            </w:r>
            <w:bookmarkEnd w:id="0"/>
          </w:p>
          <w:p w14:paraId="20E0200F"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52EEF40E" w14:textId="3A062338" w:rsidR="00A4449F" w:rsidRDefault="00363CE0" w:rsidP="000766D5">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 xml:space="preserve">3. </w:t>
            </w:r>
            <w:r w:rsidR="00A4449F" w:rsidRPr="00363CE0">
              <w:rPr>
                <w:rFonts w:ascii="Calibri" w:hAnsi="Calibri" w:cs="Tahoma"/>
                <w:b/>
                <w:bCs/>
                <w:u w:val="single"/>
                <w:lang w:val="en-IN"/>
              </w:rPr>
              <w:t>Enforcement</w:t>
            </w: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1"/>
            <w:bookmarkEnd w:id="2"/>
            <w:bookmarkEnd w:id="3"/>
            <w:bookmarkEnd w:id="4"/>
            <w:bookmarkEnd w:id="5"/>
            <w:bookmarkEnd w:id="6"/>
            <w:bookmarkEnd w:id="7"/>
            <w:bookmarkEnd w:id="8"/>
            <w:bookmarkEnd w:id="9"/>
            <w:bookmarkEnd w:id="10"/>
            <w:bookmarkEnd w:id="11"/>
          </w:p>
          <w:p w14:paraId="4B128FFB" w14:textId="77777777" w:rsidR="000766D5" w:rsidRPr="003377EB" w:rsidRDefault="000766D5" w:rsidP="000766D5">
            <w:pPr>
              <w:ind w:right="162"/>
              <w:jc w:val="both"/>
              <w:rPr>
                <w:rFonts w:ascii="Tahoma" w:eastAsia="Times New Roman" w:hAnsi="Tahoma" w:cs="Tahoma"/>
                <w:b/>
                <w:bCs/>
                <w:smallCaps/>
                <w:vanish/>
                <w:color w:val="000080"/>
                <w:spacing w:val="20"/>
                <w:kern w:val="32"/>
                <w:sz w:val="28"/>
                <w:szCs w:val="28"/>
                <w:lang w:val="en-GB"/>
              </w:rPr>
            </w:pPr>
          </w:p>
          <w:p w14:paraId="3415B100"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3F3426C4"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4EBFF7E8"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35965CCB"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6472A598"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64EED8F5" w14:textId="77777777" w:rsidR="000766D5" w:rsidRDefault="00363CE0" w:rsidP="000766D5">
            <w:pPr>
              <w:spacing w:line="276" w:lineRule="auto"/>
              <w:jc w:val="both"/>
              <w:rPr>
                <w:b/>
                <w:bCs/>
              </w:rPr>
            </w:pPr>
            <w:r>
              <w:rPr>
                <w:b/>
                <w:bCs/>
              </w:rPr>
              <w:t xml:space="preserve">3.1 </w:t>
            </w:r>
            <w:r w:rsidR="00A4449F" w:rsidRPr="00363CE0">
              <w:rPr>
                <w:b/>
                <w:bCs/>
              </w:rPr>
              <w:t>Policy Violation</w:t>
            </w:r>
          </w:p>
          <w:p w14:paraId="61E58B24" w14:textId="7140FB1F" w:rsidR="00A4449F" w:rsidRPr="00363CE0" w:rsidRDefault="00A4449F" w:rsidP="000766D5">
            <w:pPr>
              <w:spacing w:line="276" w:lineRule="auto"/>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3E17C316"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30A4091F"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1FFEB3D8"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0946272F"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6359F503" w14:textId="77777777" w:rsidR="00A4449F" w:rsidRPr="00363CE0" w:rsidRDefault="00363CE0" w:rsidP="00363CE0">
            <w:pPr>
              <w:spacing w:line="276" w:lineRule="auto"/>
              <w:jc w:val="both"/>
              <w:rPr>
                <w:b/>
                <w:bCs/>
              </w:rPr>
            </w:pPr>
            <w:r>
              <w:rPr>
                <w:b/>
                <w:bCs/>
              </w:rPr>
              <w:t xml:space="preserve">3.2 </w:t>
            </w:r>
            <w:r w:rsidR="00A4449F" w:rsidRPr="00363CE0">
              <w:rPr>
                <w:b/>
                <w:bCs/>
              </w:rPr>
              <w:t>Policy Waiver</w:t>
            </w:r>
          </w:p>
          <w:p w14:paraId="0D19641C"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1937E261" w14:textId="77777777" w:rsidR="003050B7" w:rsidRPr="002928E9" w:rsidRDefault="003050B7" w:rsidP="001241FF"/>
    <w:p w14:paraId="0FF46D45" w14:textId="77777777" w:rsidR="00B50A6C" w:rsidRDefault="00B50A6C"/>
    <w:sectPr w:rsidR="00B50A6C"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3CB9" w14:textId="77777777" w:rsidR="00EB6525" w:rsidRDefault="00EB6525" w:rsidP="003050B7">
      <w:pPr>
        <w:spacing w:after="0"/>
      </w:pPr>
      <w:r>
        <w:separator/>
      </w:r>
    </w:p>
  </w:endnote>
  <w:endnote w:type="continuationSeparator" w:id="0">
    <w:p w14:paraId="2E783AF4" w14:textId="77777777" w:rsidR="00EB6525" w:rsidRDefault="00EB6525"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9BB6" w14:textId="77777777" w:rsidR="000766D5" w:rsidRDefault="00076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2D55" w14:textId="369A8C2B" w:rsidR="00000000"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BA6F6E"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BA6F6E" w:rsidRPr="00B93592">
      <w:rPr>
        <w:rFonts w:asciiTheme="minorHAnsi" w:hAnsiTheme="minorHAnsi" w:cstheme="minorHAnsi"/>
        <w:b/>
        <w:sz w:val="20"/>
        <w:szCs w:val="20"/>
      </w:rPr>
      <w:fldChar w:fldCharType="separate"/>
    </w:r>
    <w:r w:rsidR="002474D7">
      <w:rPr>
        <w:rFonts w:asciiTheme="minorHAnsi" w:hAnsiTheme="minorHAnsi" w:cstheme="minorHAnsi"/>
        <w:b/>
        <w:noProof/>
        <w:sz w:val="20"/>
        <w:szCs w:val="20"/>
      </w:rPr>
      <w:t>1</w:t>
    </w:r>
    <w:r w:rsidR="00BA6F6E"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BA6F6E"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BA6F6E" w:rsidRPr="00B93592">
      <w:rPr>
        <w:rFonts w:asciiTheme="minorHAnsi" w:hAnsiTheme="minorHAnsi" w:cstheme="minorHAnsi"/>
        <w:b/>
        <w:sz w:val="20"/>
        <w:szCs w:val="20"/>
      </w:rPr>
      <w:fldChar w:fldCharType="separate"/>
    </w:r>
    <w:r w:rsidR="002474D7">
      <w:rPr>
        <w:rFonts w:asciiTheme="minorHAnsi" w:hAnsiTheme="minorHAnsi" w:cstheme="minorHAnsi"/>
        <w:b/>
        <w:noProof/>
        <w:sz w:val="20"/>
        <w:szCs w:val="20"/>
      </w:rPr>
      <w:t>4</w:t>
    </w:r>
    <w:r w:rsidR="00BA6F6E"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73CAD2A5" w14:textId="62001939" w:rsidR="00B93592" w:rsidRPr="00B93592" w:rsidRDefault="007038E5"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A5CB" w14:textId="77777777" w:rsidR="000766D5" w:rsidRDefault="00076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F5F1" w14:textId="77777777" w:rsidR="00EB6525" w:rsidRDefault="00EB6525" w:rsidP="003050B7">
      <w:pPr>
        <w:spacing w:after="0"/>
      </w:pPr>
      <w:r>
        <w:separator/>
      </w:r>
    </w:p>
  </w:footnote>
  <w:footnote w:type="continuationSeparator" w:id="0">
    <w:p w14:paraId="5DB1C8DC" w14:textId="77777777" w:rsidR="00EB6525" w:rsidRDefault="00EB6525"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90ED" w14:textId="77777777" w:rsidR="000766D5" w:rsidRDefault="00076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43F30DDF" w14:textId="77777777" w:rsidTr="00980C86">
      <w:tc>
        <w:tcPr>
          <w:tcW w:w="4230" w:type="dxa"/>
        </w:tcPr>
        <w:p w14:paraId="3B3237BF" w14:textId="77777777" w:rsidR="00000000" w:rsidRPr="003069FB" w:rsidRDefault="00B93592" w:rsidP="003050B7">
          <w:pPr>
            <w:pStyle w:val="Header"/>
            <w:rPr>
              <w:b/>
              <w:noProof/>
              <w:sz w:val="28"/>
              <w:szCs w:val="28"/>
            </w:rPr>
          </w:pPr>
          <w:r>
            <w:rPr>
              <w:b/>
              <w:noProof/>
              <w:sz w:val="28"/>
              <w:szCs w:val="28"/>
            </w:rPr>
            <w:drawing>
              <wp:inline distT="0" distB="0" distL="0" distR="0" wp14:anchorId="596FDB43" wp14:editId="333B7487">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10915D4D" w14:textId="77777777" w:rsidR="00000000" w:rsidRDefault="002474D7" w:rsidP="00D10214">
          <w:pPr>
            <w:pStyle w:val="Header"/>
            <w:jc w:val="right"/>
            <w:rPr>
              <w:rFonts w:ascii="Calibri" w:hAnsi="Calibri"/>
              <w:b/>
              <w:noProof/>
              <w:sz w:val="32"/>
            </w:rPr>
          </w:pPr>
          <w:r>
            <w:rPr>
              <w:rFonts w:ascii="Calibri" w:hAnsi="Calibri"/>
              <w:b/>
              <w:noProof/>
              <w:sz w:val="32"/>
            </w:rPr>
            <w:t>Business Continuity</w:t>
          </w:r>
          <w:r w:rsidR="00FF2CEB">
            <w:rPr>
              <w:rFonts w:ascii="Calibri" w:hAnsi="Calibri"/>
              <w:b/>
              <w:noProof/>
              <w:sz w:val="32"/>
            </w:rPr>
            <w:t xml:space="preserve"> Policy</w:t>
          </w:r>
        </w:p>
        <w:p w14:paraId="33B50E51" w14:textId="77777777" w:rsidR="0000000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5E67F2AF" w14:textId="77777777" w:rsidR="00000000" w:rsidRPr="00607DB0" w:rsidRDefault="00000000" w:rsidP="00B93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6CFA" w14:textId="77777777" w:rsidR="000766D5" w:rsidRDefault="00076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33"/>
    <w:multiLevelType w:val="hybridMultilevel"/>
    <w:tmpl w:val="5ADC09E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326E7"/>
    <w:multiLevelType w:val="multilevel"/>
    <w:tmpl w:val="3F52A24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7EE008F"/>
    <w:multiLevelType w:val="hybridMultilevel"/>
    <w:tmpl w:val="3828D8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45C28"/>
    <w:multiLevelType w:val="multilevel"/>
    <w:tmpl w:val="80B040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15:restartNumberingAfterBreak="0">
    <w:nsid w:val="30892E1F"/>
    <w:multiLevelType w:val="hybridMultilevel"/>
    <w:tmpl w:val="421C9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685904"/>
    <w:multiLevelType w:val="hybridMultilevel"/>
    <w:tmpl w:val="5F547B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862E0"/>
    <w:multiLevelType w:val="hybridMultilevel"/>
    <w:tmpl w:val="062644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1F27BF"/>
    <w:multiLevelType w:val="hybridMultilevel"/>
    <w:tmpl w:val="A78E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15:restartNumberingAfterBreak="0">
    <w:nsid w:val="5CCB1649"/>
    <w:multiLevelType w:val="multilevel"/>
    <w:tmpl w:val="5D92081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0358888">
    <w:abstractNumId w:val="16"/>
  </w:num>
  <w:num w:numId="2" w16cid:durableId="1425151206">
    <w:abstractNumId w:val="5"/>
  </w:num>
  <w:num w:numId="3" w16cid:durableId="1109470203">
    <w:abstractNumId w:val="20"/>
  </w:num>
  <w:num w:numId="4" w16cid:durableId="381174084">
    <w:abstractNumId w:val="27"/>
  </w:num>
  <w:num w:numId="5" w16cid:durableId="1628272824">
    <w:abstractNumId w:val="7"/>
  </w:num>
  <w:num w:numId="6" w16cid:durableId="403264794">
    <w:abstractNumId w:val="31"/>
  </w:num>
  <w:num w:numId="7" w16cid:durableId="1160390853">
    <w:abstractNumId w:val="8"/>
  </w:num>
  <w:num w:numId="8" w16cid:durableId="590358108">
    <w:abstractNumId w:val="22"/>
  </w:num>
  <w:num w:numId="9" w16cid:durableId="1034237170">
    <w:abstractNumId w:val="9"/>
  </w:num>
  <w:num w:numId="10" w16cid:durableId="1027830319">
    <w:abstractNumId w:val="6"/>
  </w:num>
  <w:num w:numId="11" w16cid:durableId="505560031">
    <w:abstractNumId w:val="18"/>
  </w:num>
  <w:num w:numId="12" w16cid:durableId="309940086">
    <w:abstractNumId w:val="4"/>
  </w:num>
  <w:num w:numId="13" w16cid:durableId="1726953859">
    <w:abstractNumId w:val="21"/>
  </w:num>
  <w:num w:numId="14" w16cid:durableId="1668551225">
    <w:abstractNumId w:val="2"/>
  </w:num>
  <w:num w:numId="15" w16cid:durableId="1177888425">
    <w:abstractNumId w:val="25"/>
  </w:num>
  <w:num w:numId="16" w16cid:durableId="1110121857">
    <w:abstractNumId w:val="26"/>
  </w:num>
  <w:num w:numId="17" w16cid:durableId="136731949">
    <w:abstractNumId w:val="23"/>
  </w:num>
  <w:num w:numId="18" w16cid:durableId="1473209896">
    <w:abstractNumId w:val="30"/>
  </w:num>
  <w:num w:numId="19" w16cid:durableId="1718967898">
    <w:abstractNumId w:val="29"/>
  </w:num>
  <w:num w:numId="20" w16cid:durableId="474689184">
    <w:abstractNumId w:val="1"/>
  </w:num>
  <w:num w:numId="21" w16cid:durableId="1730953358">
    <w:abstractNumId w:val="10"/>
  </w:num>
  <w:num w:numId="22" w16cid:durableId="1397436251">
    <w:abstractNumId w:val="28"/>
  </w:num>
  <w:num w:numId="23" w16cid:durableId="228930628">
    <w:abstractNumId w:val="13"/>
  </w:num>
  <w:num w:numId="24" w16cid:durableId="444663482">
    <w:abstractNumId w:val="0"/>
  </w:num>
  <w:num w:numId="25" w16cid:durableId="1275401082">
    <w:abstractNumId w:val="14"/>
  </w:num>
  <w:num w:numId="26" w16cid:durableId="776759235">
    <w:abstractNumId w:val="12"/>
  </w:num>
  <w:num w:numId="27" w16cid:durableId="1584752976">
    <w:abstractNumId w:val="19"/>
  </w:num>
  <w:num w:numId="28" w16cid:durableId="1754425864">
    <w:abstractNumId w:val="11"/>
  </w:num>
  <w:num w:numId="29" w16cid:durableId="779373437">
    <w:abstractNumId w:val="3"/>
  </w:num>
  <w:num w:numId="30" w16cid:durableId="284387165">
    <w:abstractNumId w:val="24"/>
  </w:num>
  <w:num w:numId="31" w16cid:durableId="1280454465">
    <w:abstractNumId w:val="17"/>
  </w:num>
  <w:num w:numId="32" w16cid:durableId="1614676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66D5"/>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87800"/>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474D7"/>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970C9"/>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66E1"/>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4A47"/>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315"/>
    <w:rsid w:val="00B50576"/>
    <w:rsid w:val="00B50A6C"/>
    <w:rsid w:val="00B516CD"/>
    <w:rsid w:val="00B51AEA"/>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6F6E"/>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0C66"/>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AAD"/>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14DA"/>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B6525"/>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2CEB"/>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06407"/>
  <w15:docId w15:val="{25F18D11-A3A1-4E93-ABDE-9CAB1D19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EEA6D-32B3-42F7-B6AE-0A3C6AD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15</cp:revision>
  <dcterms:created xsi:type="dcterms:W3CDTF">2021-11-04T08:41:00Z</dcterms:created>
  <dcterms:modified xsi:type="dcterms:W3CDTF">2025-09-08T06:55:00Z</dcterms:modified>
</cp:coreProperties>
</file>