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3050B7" w:rsidRPr="002928E9" w14:paraId="72BAE223" w14:textId="77777777" w:rsidTr="00980C86">
        <w:tc>
          <w:tcPr>
            <w:tcW w:w="1980" w:type="dxa"/>
          </w:tcPr>
          <w:p w14:paraId="33537260" w14:textId="77777777" w:rsidR="003050B7" w:rsidRPr="00980C86" w:rsidRDefault="004E7314" w:rsidP="003050B7">
            <w:pPr>
              <w:spacing w:before="120"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35799FA" w14:textId="77777777" w:rsidR="003050B7" w:rsidRPr="00E270D8" w:rsidRDefault="00E270D8" w:rsidP="00E270D8">
            <w:pPr>
              <w:spacing w:before="120" w:after="120"/>
              <w:ind w:left="72" w:right="162"/>
              <w:jc w:val="both"/>
              <w:rPr>
                <w:rFonts w:ascii="Calibri" w:hAnsi="Calibri"/>
                <w:lang w:val="en-IN"/>
              </w:rPr>
            </w:pPr>
            <w:r w:rsidRPr="00E270D8">
              <w:rPr>
                <w:rFonts w:ascii="Calibri" w:hAnsi="Calibri"/>
                <w:lang w:val="en-IN"/>
              </w:rPr>
              <w:t xml:space="preserve">This policy aims to ensure that those people who are under the SMSA’s control </w:t>
            </w:r>
            <w:r>
              <w:rPr>
                <w:rFonts w:ascii="Calibri" w:hAnsi="Calibri"/>
                <w:lang w:val="en-IN"/>
              </w:rPr>
              <w:t xml:space="preserve">who </w:t>
            </w:r>
            <w:r w:rsidRPr="00E270D8">
              <w:rPr>
                <w:rFonts w:ascii="Calibri" w:hAnsi="Calibri"/>
                <w:lang w:val="en-IN"/>
              </w:rPr>
              <w:t>affect information security are fit for working and know their responsibilities, and that any changes in employment conditions will not affect information security.</w:t>
            </w:r>
          </w:p>
        </w:tc>
      </w:tr>
      <w:tr w:rsidR="003050B7" w:rsidRPr="002928E9" w14:paraId="328AE63E" w14:textId="77777777" w:rsidTr="00980C86">
        <w:tc>
          <w:tcPr>
            <w:tcW w:w="1980" w:type="dxa"/>
          </w:tcPr>
          <w:p w14:paraId="06823C26" w14:textId="77777777" w:rsidR="003050B7" w:rsidRPr="00980C86" w:rsidRDefault="004E7314" w:rsidP="003050B7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Reference No. </w:t>
            </w:r>
          </w:p>
        </w:tc>
        <w:tc>
          <w:tcPr>
            <w:tcW w:w="8640" w:type="dxa"/>
          </w:tcPr>
          <w:p w14:paraId="4D4A32C7" w14:textId="77777777" w:rsidR="003050B7" w:rsidRPr="008A0662" w:rsidRDefault="004E7314" w:rsidP="004E7314">
            <w:pPr>
              <w:spacing w:before="120" w:after="120"/>
              <w:ind w:left="72" w:right="162"/>
              <w:jc w:val="both"/>
              <w:rPr>
                <w:rFonts w:ascii="Calibri" w:hAnsi="Calibri"/>
              </w:rPr>
            </w:pPr>
            <w:r w:rsidRPr="004E7314">
              <w:rPr>
                <w:rFonts w:ascii="Calibri" w:hAnsi="Calibri"/>
                <w:lang w:val="en-IN"/>
              </w:rPr>
              <w:t xml:space="preserve">Annex A </w:t>
            </w:r>
            <w:r w:rsidR="00E270D8">
              <w:rPr>
                <w:rFonts w:ascii="Calibri" w:hAnsi="Calibri"/>
                <w:lang w:val="en-IN"/>
              </w:rPr>
              <w:t>7</w:t>
            </w:r>
          </w:p>
        </w:tc>
      </w:tr>
      <w:tr w:rsidR="003050B7" w:rsidRPr="002928E9" w14:paraId="649276A9" w14:textId="77777777" w:rsidTr="00980C86">
        <w:tc>
          <w:tcPr>
            <w:tcW w:w="1980" w:type="dxa"/>
          </w:tcPr>
          <w:p w14:paraId="15AFAC39" w14:textId="77777777" w:rsidR="003050B7" w:rsidRDefault="004E7314" w:rsidP="003050B7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0F6EB611" w14:textId="77777777" w:rsidR="004E7314" w:rsidRPr="004E7314" w:rsidRDefault="004E7314" w:rsidP="004E7314">
            <w:pPr>
              <w:spacing w:before="120" w:after="120"/>
              <w:ind w:left="72"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This policy is applicable to:</w:t>
            </w:r>
          </w:p>
          <w:p w14:paraId="254B55DC" w14:textId="77777777" w:rsidR="004E7314" w:rsidRPr="004E7314" w:rsidRDefault="004E7314" w:rsidP="004E7314">
            <w:pPr>
              <w:numPr>
                <w:ilvl w:val="0"/>
                <w:numId w:val="3"/>
              </w:numPr>
              <w:spacing w:before="120" w:after="12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All IT supported business processes and IT operations,</w:t>
            </w:r>
          </w:p>
          <w:p w14:paraId="5629AECA" w14:textId="77777777" w:rsidR="004E7314" w:rsidRPr="004E7314" w:rsidRDefault="004E7314" w:rsidP="004E7314">
            <w:pPr>
              <w:numPr>
                <w:ilvl w:val="0"/>
                <w:numId w:val="3"/>
              </w:numPr>
              <w:spacing w:before="120" w:after="12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Information assets hosted by or on behalf of SMSA,</w:t>
            </w:r>
          </w:p>
          <w:p w14:paraId="18235B5E" w14:textId="77777777" w:rsidR="004E7314" w:rsidRPr="004E7314" w:rsidRDefault="004E7314" w:rsidP="004E7314">
            <w:pPr>
              <w:numPr>
                <w:ilvl w:val="0"/>
                <w:numId w:val="3"/>
              </w:numPr>
              <w:spacing w:before="120" w:after="12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Employees of SMSA and,</w:t>
            </w:r>
          </w:p>
          <w:p w14:paraId="1F74F2C7" w14:textId="77777777" w:rsidR="003050B7" w:rsidRPr="004E7314" w:rsidRDefault="004E7314" w:rsidP="004E7314">
            <w:pPr>
              <w:numPr>
                <w:ilvl w:val="0"/>
                <w:numId w:val="3"/>
              </w:numPr>
              <w:spacing w:before="120" w:after="120"/>
              <w:ind w:right="162"/>
              <w:jc w:val="both"/>
              <w:rPr>
                <w:rStyle w:val="Strong"/>
                <w:rFonts w:ascii="Calibri" w:hAnsi="Calibri" w:cs="Tahoma"/>
                <w:b w:val="0"/>
                <w:bCs w:val="0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Third parties supporting IT operations</w:t>
            </w:r>
          </w:p>
        </w:tc>
      </w:tr>
      <w:tr w:rsidR="003050B7" w:rsidRPr="002928E9" w14:paraId="354DFC7E" w14:textId="77777777" w:rsidTr="00980C86">
        <w:tc>
          <w:tcPr>
            <w:tcW w:w="1980" w:type="dxa"/>
          </w:tcPr>
          <w:p w14:paraId="61DF1E57" w14:textId="77777777" w:rsidR="003050B7" w:rsidRDefault="003050B7" w:rsidP="003050B7">
            <w:pPr>
              <w:spacing w:before="120"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479BCD7E" w14:textId="77777777" w:rsidR="004E7314" w:rsidRPr="004E7314" w:rsidRDefault="004E7314" w:rsidP="004E7314">
            <w:pPr>
              <w:spacing w:after="240"/>
              <w:ind w:left="72"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 xml:space="preserve">The ITD </w:t>
            </w:r>
            <w:r>
              <w:rPr>
                <w:rFonts w:ascii="Calibri" w:hAnsi="Calibri" w:cs="Tahoma"/>
                <w:lang w:val="en-IN"/>
              </w:rPr>
              <w:t xml:space="preserve">National </w:t>
            </w:r>
            <w:r w:rsidRPr="004E7314">
              <w:rPr>
                <w:rFonts w:ascii="Calibri" w:hAnsi="Calibri" w:cs="Tahoma"/>
                <w:lang w:val="en-IN"/>
              </w:rPr>
              <w:t xml:space="preserve">Manager is constituted to approve the Policies for implementation. The policies will be supported by procedures, which detail the technology specific requirements and implementation process for complying with the policies. </w:t>
            </w:r>
          </w:p>
          <w:p w14:paraId="3F27251A" w14:textId="77777777" w:rsidR="004E7314" w:rsidRPr="004E7314" w:rsidRDefault="004E7314" w:rsidP="004E7314">
            <w:pPr>
              <w:spacing w:after="240"/>
              <w:ind w:left="72"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 xml:space="preserve">MANAGING DIRECTOR is the highest </w:t>
            </w:r>
            <w:r w:rsidR="00293E15">
              <w:rPr>
                <w:rFonts w:ascii="Calibri" w:hAnsi="Calibri" w:cs="Tahoma"/>
                <w:lang w:val="en-IN"/>
              </w:rPr>
              <w:t>l</w:t>
            </w:r>
            <w:r w:rsidRPr="004E7314">
              <w:rPr>
                <w:rFonts w:ascii="Calibri" w:hAnsi="Calibri" w:cs="Tahoma"/>
                <w:lang w:val="en-IN"/>
              </w:rPr>
              <w:t>evel for Information Security governance and shall be responsible for evaluation, direction and oversight of Information Security compliance at SMSA.</w:t>
            </w:r>
          </w:p>
          <w:p w14:paraId="5BC7377A" w14:textId="77777777" w:rsidR="003050B7" w:rsidRDefault="004E7314" w:rsidP="004E7314">
            <w:pPr>
              <w:spacing w:after="240"/>
              <w:ind w:left="72"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National IT Manager</w:t>
            </w:r>
            <w:r>
              <w:rPr>
                <w:rFonts w:ascii="Calibri" w:hAnsi="Calibri" w:cs="Tahoma"/>
                <w:lang w:val="en-IN"/>
              </w:rPr>
              <w:t xml:space="preserve"> – </w:t>
            </w:r>
          </w:p>
          <w:p w14:paraId="04A825C8" w14:textId="77777777" w:rsid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Approve the Policies and any subsequent modifications.</w:t>
            </w:r>
          </w:p>
          <w:p w14:paraId="41BE10B2" w14:textId="77777777" w:rsid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Advising for effecting changes to the Policy &amp; Procedures documents</w:t>
            </w:r>
          </w:p>
          <w:p w14:paraId="3393487E" w14:textId="77777777" w:rsid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Conducting information security compliance reviews of all applications, information assets &amp; processes in SMSA</w:t>
            </w:r>
          </w:p>
          <w:p w14:paraId="3450DCB8" w14:textId="77777777" w:rsid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>Granting and removing of access rights</w:t>
            </w:r>
          </w:p>
          <w:p w14:paraId="1D305B9C" w14:textId="77777777" w:rsid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Segregation of roles and responsibilities of employees in Info. Sec. department</w:t>
            </w:r>
          </w:p>
          <w:p w14:paraId="63371E33" w14:textId="77777777" w:rsid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4E7314">
              <w:rPr>
                <w:rFonts w:ascii="Calibri" w:hAnsi="Calibri" w:cs="Tahoma"/>
                <w:lang w:val="en-IN"/>
              </w:rPr>
              <w:t>Report compliance audit result to Info. Sec. Committee.</w:t>
            </w:r>
          </w:p>
          <w:p w14:paraId="548E8303" w14:textId="77777777" w:rsidR="004E7314" w:rsidRDefault="004E7314" w:rsidP="004E7314">
            <w:pPr>
              <w:spacing w:after="240"/>
              <w:ind w:right="162"/>
              <w:jc w:val="both"/>
              <w:rPr>
                <w:rStyle w:val="Strong"/>
                <w:rFonts w:ascii="Calibri" w:hAnsi="Calibri" w:cs="Tahoma"/>
                <w:b w:val="0"/>
                <w:bCs w:val="0"/>
                <w:lang w:val="en-IN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  <w:lang w:val="en-IN"/>
              </w:rPr>
              <w:t xml:space="preserve">Quality &amp; Risk Department – </w:t>
            </w:r>
          </w:p>
          <w:p w14:paraId="7A44E6EC" w14:textId="77777777" w:rsidR="004E7314" w:rsidRP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>A</w:t>
            </w:r>
            <w:r w:rsidRPr="004E7314">
              <w:rPr>
                <w:rFonts w:ascii="Calibri" w:hAnsi="Calibri" w:cs="Tahoma"/>
                <w:lang w:val="en-IN"/>
              </w:rPr>
              <w:t>ssure the integrity of the approved ISMS policies and procedures with the existing QMS.</w:t>
            </w:r>
          </w:p>
          <w:p w14:paraId="405BEDF6" w14:textId="77777777" w:rsidR="004E7314" w:rsidRP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>E</w:t>
            </w:r>
            <w:r w:rsidRPr="004E7314">
              <w:rPr>
                <w:rFonts w:ascii="Calibri" w:hAnsi="Calibri" w:cs="Tahoma"/>
                <w:lang w:val="en-IN"/>
              </w:rPr>
              <w:t>nsure risk assessment with respect to ISMS is conducted regularly.</w:t>
            </w:r>
          </w:p>
          <w:p w14:paraId="21C4C485" w14:textId="77777777" w:rsidR="004E7314" w:rsidRP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>E</w:t>
            </w:r>
            <w:r w:rsidRPr="004E7314">
              <w:rPr>
                <w:rFonts w:ascii="Calibri" w:hAnsi="Calibri" w:cs="Tahoma"/>
                <w:lang w:val="en-IN"/>
              </w:rPr>
              <w:t>nsure that ISMS internal audits are carried as per the internal audit plan and management review meetings will cover ISMS.</w:t>
            </w:r>
          </w:p>
          <w:p w14:paraId="14B3E71B" w14:textId="77777777" w:rsidR="004E7314" w:rsidRDefault="004E7314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>E</w:t>
            </w:r>
            <w:r w:rsidRPr="004E7314">
              <w:rPr>
                <w:rFonts w:ascii="Calibri" w:hAnsi="Calibri" w:cs="Tahoma"/>
                <w:lang w:val="en-IN"/>
              </w:rPr>
              <w:t xml:space="preserve">nsure that regular review of ISMS documents </w:t>
            </w:r>
            <w:proofErr w:type="gramStart"/>
            <w:r w:rsidRPr="004E7314">
              <w:rPr>
                <w:rFonts w:ascii="Calibri" w:hAnsi="Calibri" w:cs="Tahoma"/>
                <w:lang w:val="en-IN"/>
              </w:rPr>
              <w:t>are</w:t>
            </w:r>
            <w:proofErr w:type="gramEnd"/>
            <w:r w:rsidRPr="004E7314">
              <w:rPr>
                <w:rFonts w:ascii="Calibri" w:hAnsi="Calibri" w:cs="Tahoma"/>
                <w:lang w:val="en-IN"/>
              </w:rPr>
              <w:t xml:space="preserve"> carried as per the document control procedure.</w:t>
            </w:r>
          </w:p>
          <w:p w14:paraId="54B5A08B" w14:textId="77777777" w:rsidR="00293E15" w:rsidRDefault="00293E15" w:rsidP="004E7314">
            <w:pPr>
              <w:pStyle w:val="ListParagraph"/>
              <w:numPr>
                <w:ilvl w:val="0"/>
                <w:numId w:val="4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>Investigation of breaches, reporting and recommendation of findings.</w:t>
            </w:r>
          </w:p>
          <w:p w14:paraId="56DCD501" w14:textId="77777777" w:rsidR="0093200A" w:rsidRDefault="0093200A" w:rsidP="0093200A">
            <w:p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 xml:space="preserve">Department Heads – </w:t>
            </w:r>
          </w:p>
          <w:p w14:paraId="70E45F67" w14:textId="77777777" w:rsidR="0093200A" w:rsidRDefault="0093200A" w:rsidP="0093200A">
            <w:pPr>
              <w:pStyle w:val="ListParagraph"/>
              <w:numPr>
                <w:ilvl w:val="0"/>
                <w:numId w:val="22"/>
              </w:num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 xml:space="preserve">Implementing and enforcing the relevant portions of the policies within their </w:t>
            </w:r>
            <w:r>
              <w:rPr>
                <w:rFonts w:ascii="Calibri" w:hAnsi="Calibri" w:cs="Tahoma"/>
                <w:lang w:val="en-IN"/>
              </w:rPr>
              <w:lastRenderedPageBreak/>
              <w:t>functions.</w:t>
            </w:r>
          </w:p>
          <w:p w14:paraId="042CDCAC" w14:textId="77777777" w:rsidR="0093200A" w:rsidRPr="0093200A" w:rsidRDefault="0093200A" w:rsidP="0093200A">
            <w:pPr>
              <w:spacing w:after="240"/>
              <w:ind w:right="162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>Employees &amp; Contractors – Comply to policies</w:t>
            </w:r>
          </w:p>
          <w:p w14:paraId="481A557A" w14:textId="77777777" w:rsidR="00293E15" w:rsidRPr="00293E15" w:rsidRDefault="00293E15" w:rsidP="00293E15">
            <w:pPr>
              <w:spacing w:after="240"/>
              <w:ind w:right="162"/>
              <w:jc w:val="both"/>
              <w:rPr>
                <w:rStyle w:val="Strong"/>
                <w:rFonts w:ascii="Calibri" w:hAnsi="Calibri" w:cs="Tahoma"/>
                <w:b w:val="0"/>
                <w:bCs w:val="0"/>
                <w:lang w:val="en-IN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  <w:lang w:val="en-IN"/>
              </w:rPr>
              <w:t xml:space="preserve">Managing Director – Approval of any exceptions to the policy. </w:t>
            </w:r>
          </w:p>
        </w:tc>
      </w:tr>
      <w:tr w:rsidR="003050B7" w:rsidRPr="002928E9" w14:paraId="0F8B558D" w14:textId="77777777" w:rsidTr="00980C86">
        <w:tc>
          <w:tcPr>
            <w:tcW w:w="1980" w:type="dxa"/>
          </w:tcPr>
          <w:p w14:paraId="0BDC3914" w14:textId="77777777" w:rsidR="003050B7" w:rsidRPr="00980C86" w:rsidRDefault="003050B7" w:rsidP="007419E0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lastRenderedPageBreak/>
              <w:t>Guidelines</w:t>
            </w:r>
          </w:p>
        </w:tc>
        <w:tc>
          <w:tcPr>
            <w:tcW w:w="8640" w:type="dxa"/>
          </w:tcPr>
          <w:p w14:paraId="1A867CCC" w14:textId="77777777" w:rsidR="00A4449F" w:rsidRDefault="00A4449F" w:rsidP="00293E15">
            <w:pPr>
              <w:ind w:right="162"/>
              <w:jc w:val="both"/>
              <w:rPr>
                <w:rFonts w:ascii="Calibri" w:hAnsi="Calibri" w:cs="Tahoma"/>
                <w:b/>
                <w:bCs/>
                <w:u w:val="single"/>
                <w:lang w:val="en-IN"/>
              </w:rPr>
            </w:pPr>
            <w:r>
              <w:rPr>
                <w:rFonts w:ascii="Calibri" w:hAnsi="Calibri" w:cs="Tahoma"/>
                <w:b/>
                <w:bCs/>
                <w:u w:val="single"/>
                <w:lang w:val="en-IN"/>
              </w:rPr>
              <w:t>1. Policy Statement</w:t>
            </w:r>
          </w:p>
          <w:p w14:paraId="346E715B" w14:textId="77777777" w:rsidR="00293E15" w:rsidRPr="006D1B43" w:rsidRDefault="00293E15" w:rsidP="00930255">
            <w:pPr>
              <w:ind w:right="162"/>
              <w:jc w:val="both"/>
              <w:rPr>
                <w:rFonts w:ascii="Calibri" w:hAnsi="Calibri" w:cs="Tahoma"/>
                <w:b/>
                <w:bCs/>
                <w:u w:val="single"/>
                <w:lang w:val="en-IN"/>
              </w:rPr>
            </w:pPr>
            <w:r w:rsidRPr="006D1B43">
              <w:rPr>
                <w:rFonts w:ascii="Calibri" w:hAnsi="Calibri" w:cs="Tahoma"/>
                <w:b/>
                <w:bCs/>
                <w:u w:val="single"/>
                <w:lang w:val="en-IN"/>
              </w:rPr>
              <w:t xml:space="preserve">1.1 </w:t>
            </w:r>
            <w:r w:rsidR="00930255">
              <w:rPr>
                <w:rFonts w:ascii="Calibri" w:hAnsi="Calibri" w:cs="Tahoma"/>
                <w:b/>
                <w:bCs/>
                <w:u w:val="single"/>
                <w:lang w:val="en-IN"/>
              </w:rPr>
              <w:t>Prior to employment</w:t>
            </w:r>
          </w:p>
          <w:p w14:paraId="0BFF8255" w14:textId="77777777" w:rsidR="00293E15" w:rsidRPr="00293E15" w:rsidRDefault="00293E15" w:rsidP="00930255">
            <w:pPr>
              <w:ind w:right="162"/>
              <w:jc w:val="both"/>
              <w:rPr>
                <w:rFonts w:ascii="Calibri" w:hAnsi="Calibri" w:cs="Tahoma"/>
                <w:b/>
                <w:bCs/>
                <w:lang w:val="en-IN"/>
              </w:rPr>
            </w:pPr>
            <w:r>
              <w:rPr>
                <w:rFonts w:ascii="Calibri" w:hAnsi="Calibri" w:cs="Tahoma"/>
                <w:b/>
                <w:bCs/>
                <w:lang w:val="en-IN"/>
              </w:rPr>
              <w:t xml:space="preserve">1.1.1 </w:t>
            </w:r>
            <w:r w:rsidR="00930255">
              <w:rPr>
                <w:rFonts w:ascii="Calibri" w:hAnsi="Calibri" w:cs="Tahoma"/>
                <w:b/>
                <w:bCs/>
                <w:lang w:val="en-IN"/>
              </w:rPr>
              <w:t>Screening</w:t>
            </w:r>
          </w:p>
          <w:p w14:paraId="6437BB49" w14:textId="77777777" w:rsidR="00930255" w:rsidRPr="00930255" w:rsidRDefault="00930255" w:rsidP="006D1B43">
            <w:pPr>
              <w:spacing w:line="276" w:lineRule="auto"/>
              <w:jc w:val="both"/>
              <w:rPr>
                <w:rFonts w:ascii="Calibri" w:hAnsi="Calibri" w:cs="Tahoma"/>
                <w:lang w:val="en-IN"/>
              </w:rPr>
            </w:pPr>
            <w:r>
              <w:rPr>
                <w:rFonts w:ascii="Calibri" w:hAnsi="Calibri" w:cs="Tahoma"/>
                <w:lang w:val="en-IN"/>
              </w:rPr>
              <w:t>Refer to HR R</w:t>
            </w:r>
            <w:r w:rsidRPr="00930255">
              <w:rPr>
                <w:rFonts w:ascii="Calibri" w:hAnsi="Calibri" w:cs="Tahoma"/>
                <w:lang w:val="en-IN"/>
              </w:rPr>
              <w:t>ecruitment policy on GUIDE Doc# 43</w:t>
            </w:r>
          </w:p>
          <w:p w14:paraId="4918D981" w14:textId="77777777" w:rsidR="006D1B43" w:rsidRPr="006D1B43" w:rsidRDefault="006D1B43" w:rsidP="0093025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 xml:space="preserve">1.1.2 </w:t>
            </w:r>
            <w:r w:rsidR="00930255">
              <w:rPr>
                <w:b/>
                <w:bCs/>
              </w:rPr>
              <w:t>Terms &amp; conditions of employment</w:t>
            </w:r>
          </w:p>
          <w:p w14:paraId="595CF89D" w14:textId="77777777" w:rsidR="00930255" w:rsidRPr="00930255" w:rsidRDefault="00930255" w:rsidP="00930255">
            <w:pPr>
              <w:spacing w:line="276" w:lineRule="auto"/>
              <w:jc w:val="both"/>
              <w:rPr>
                <w:rFonts w:ascii="Calibri" w:hAnsi="Calibri" w:cs="Tahoma"/>
                <w:lang w:val="en-IN"/>
              </w:rPr>
            </w:pPr>
            <w:r w:rsidRPr="00930255">
              <w:rPr>
                <w:rFonts w:ascii="Calibri" w:hAnsi="Calibri" w:cs="Tahoma"/>
                <w:lang w:val="en-IN"/>
              </w:rPr>
              <w:t xml:space="preserve">Refer </w:t>
            </w:r>
            <w:proofErr w:type="gramStart"/>
            <w:r w:rsidRPr="00930255">
              <w:rPr>
                <w:rFonts w:ascii="Calibri" w:hAnsi="Calibri" w:cs="Tahoma"/>
                <w:lang w:val="en-IN"/>
              </w:rPr>
              <w:t>to  Recruitment</w:t>
            </w:r>
            <w:proofErr w:type="gramEnd"/>
            <w:r w:rsidRPr="00930255">
              <w:rPr>
                <w:rFonts w:ascii="Calibri" w:hAnsi="Calibri" w:cs="Tahoma"/>
                <w:lang w:val="en-IN"/>
              </w:rPr>
              <w:t xml:space="preserve"> policy Doc# 43 &amp; Training and Development policy Doc# 48 on GUIDE </w:t>
            </w:r>
          </w:p>
          <w:p w14:paraId="5EBA7533" w14:textId="77777777" w:rsidR="006D1B43" w:rsidRPr="006D1B43" w:rsidRDefault="006D1B43" w:rsidP="002C2D44">
            <w:pPr>
              <w:ind w:right="162"/>
              <w:jc w:val="both"/>
              <w:rPr>
                <w:rFonts w:ascii="Calibri" w:hAnsi="Calibri" w:cs="Tahoma"/>
                <w:b/>
                <w:bCs/>
                <w:u w:val="single"/>
                <w:lang w:val="en-IN"/>
              </w:rPr>
            </w:pPr>
            <w:r w:rsidRPr="006D1B43">
              <w:rPr>
                <w:rFonts w:ascii="Calibri" w:hAnsi="Calibri" w:cs="Tahoma"/>
                <w:b/>
                <w:bCs/>
                <w:u w:val="single"/>
                <w:lang w:val="en-IN"/>
              </w:rPr>
              <w:t xml:space="preserve">1.2 </w:t>
            </w:r>
            <w:r w:rsidR="002C2D44">
              <w:rPr>
                <w:rFonts w:ascii="Calibri" w:hAnsi="Calibri" w:cs="Tahoma"/>
                <w:b/>
                <w:bCs/>
                <w:u w:val="single"/>
                <w:lang w:val="en-IN"/>
              </w:rPr>
              <w:t>During Employment</w:t>
            </w:r>
          </w:p>
          <w:p w14:paraId="322F2163" w14:textId="77777777" w:rsidR="006D1B43" w:rsidRDefault="006D1B43" w:rsidP="002C2D44">
            <w:pPr>
              <w:ind w:right="162"/>
              <w:jc w:val="both"/>
              <w:rPr>
                <w:rFonts w:ascii="Calibri" w:hAnsi="Calibri" w:cs="Tahoma"/>
                <w:b/>
                <w:bCs/>
                <w:lang w:val="en-IN"/>
              </w:rPr>
            </w:pPr>
            <w:r>
              <w:rPr>
                <w:rFonts w:ascii="Calibri" w:hAnsi="Calibri" w:cs="Tahoma"/>
                <w:b/>
                <w:bCs/>
                <w:lang w:val="en-IN"/>
              </w:rPr>
              <w:t xml:space="preserve">1.2.1 </w:t>
            </w:r>
            <w:r w:rsidR="002C2D44">
              <w:rPr>
                <w:rFonts w:ascii="Calibri" w:hAnsi="Calibri" w:cs="Tahoma"/>
                <w:b/>
                <w:bCs/>
                <w:lang w:val="en-IN"/>
              </w:rPr>
              <w:t>Management Responsibilities</w:t>
            </w:r>
          </w:p>
          <w:p w14:paraId="5520901B" w14:textId="77777777" w:rsidR="002C2D44" w:rsidRPr="002C2D44" w:rsidRDefault="002C2D44" w:rsidP="002C2D44">
            <w:pPr>
              <w:spacing w:line="276" w:lineRule="auto"/>
              <w:jc w:val="both"/>
              <w:rPr>
                <w:rFonts w:ascii="Calibri" w:hAnsi="Calibri" w:cs="Tahoma"/>
                <w:lang w:val="en-IN"/>
              </w:rPr>
            </w:pPr>
            <w:r w:rsidRPr="00930255">
              <w:rPr>
                <w:rFonts w:ascii="Calibri" w:hAnsi="Calibri" w:cs="Tahoma"/>
                <w:lang w:val="en-IN"/>
              </w:rPr>
              <w:t xml:space="preserve">Refer </w:t>
            </w:r>
            <w:proofErr w:type="gramStart"/>
            <w:r w:rsidRPr="00930255">
              <w:rPr>
                <w:rFonts w:ascii="Calibri" w:hAnsi="Calibri" w:cs="Tahoma"/>
                <w:lang w:val="en-IN"/>
              </w:rPr>
              <w:t>to  Recruitment</w:t>
            </w:r>
            <w:proofErr w:type="gramEnd"/>
            <w:r w:rsidRPr="00930255">
              <w:rPr>
                <w:rFonts w:ascii="Calibri" w:hAnsi="Calibri" w:cs="Tahoma"/>
                <w:lang w:val="en-IN"/>
              </w:rPr>
              <w:t xml:space="preserve"> policy Doc# 43 &amp; Training and Development policy Doc# 48 on GUIDE </w:t>
            </w:r>
          </w:p>
          <w:p w14:paraId="5D453E0A" w14:textId="77777777" w:rsidR="006D1B43" w:rsidRDefault="00B935CE" w:rsidP="00B935CE">
            <w:pPr>
              <w:ind w:right="162"/>
              <w:jc w:val="both"/>
              <w:rPr>
                <w:rFonts w:ascii="Calibri" w:hAnsi="Calibri" w:cs="Tahoma"/>
                <w:b/>
                <w:bCs/>
                <w:lang w:val="en-IN"/>
              </w:rPr>
            </w:pPr>
            <w:r>
              <w:rPr>
                <w:rFonts w:ascii="Calibri" w:hAnsi="Calibri" w:cs="Tahoma"/>
                <w:b/>
                <w:bCs/>
                <w:lang w:val="en-IN"/>
              </w:rPr>
              <w:t>1.2.2</w:t>
            </w:r>
            <w:r w:rsidR="006D1B43">
              <w:rPr>
                <w:rFonts w:ascii="Calibri" w:hAnsi="Calibri" w:cs="Tahoma"/>
                <w:b/>
                <w:bCs/>
                <w:lang w:val="en-IN"/>
              </w:rPr>
              <w:t xml:space="preserve"> </w:t>
            </w:r>
            <w:r>
              <w:rPr>
                <w:rFonts w:ascii="Calibri" w:hAnsi="Calibri" w:cs="Tahoma"/>
                <w:b/>
                <w:bCs/>
                <w:lang w:val="en-IN"/>
              </w:rPr>
              <w:t>Information security awareness, education &amp; training</w:t>
            </w:r>
          </w:p>
          <w:p w14:paraId="4469E47E" w14:textId="77777777" w:rsidR="00B935CE" w:rsidRPr="002C2D44" w:rsidRDefault="00B935CE" w:rsidP="00B935CE">
            <w:pPr>
              <w:spacing w:line="276" w:lineRule="auto"/>
              <w:jc w:val="both"/>
              <w:rPr>
                <w:rFonts w:ascii="Calibri" w:hAnsi="Calibri" w:cs="Tahoma"/>
                <w:lang w:val="en-IN"/>
              </w:rPr>
            </w:pPr>
            <w:r w:rsidRPr="00930255">
              <w:rPr>
                <w:rFonts w:ascii="Calibri" w:hAnsi="Calibri" w:cs="Tahoma"/>
                <w:lang w:val="en-IN"/>
              </w:rPr>
              <w:t xml:space="preserve">Refer </w:t>
            </w:r>
            <w:proofErr w:type="gramStart"/>
            <w:r w:rsidRPr="00930255">
              <w:rPr>
                <w:rFonts w:ascii="Calibri" w:hAnsi="Calibri" w:cs="Tahoma"/>
                <w:lang w:val="en-IN"/>
              </w:rPr>
              <w:t>to  Training</w:t>
            </w:r>
            <w:proofErr w:type="gramEnd"/>
            <w:r w:rsidRPr="00930255">
              <w:rPr>
                <w:rFonts w:ascii="Calibri" w:hAnsi="Calibri" w:cs="Tahoma"/>
                <w:lang w:val="en-IN"/>
              </w:rPr>
              <w:t xml:space="preserve"> and Development policy Doc# 48 on </w:t>
            </w:r>
            <w:proofErr w:type="gramStart"/>
            <w:r w:rsidRPr="00930255">
              <w:rPr>
                <w:rFonts w:ascii="Calibri" w:hAnsi="Calibri" w:cs="Tahoma"/>
                <w:lang w:val="en-IN"/>
              </w:rPr>
              <w:t xml:space="preserve">GUIDE </w:t>
            </w:r>
            <w:r w:rsidRPr="00B935CE">
              <w:rPr>
                <w:rFonts w:ascii="Calibri" w:hAnsi="Calibri" w:cs="Tahoma"/>
                <w:color w:val="FF0000"/>
                <w:lang w:val="en-IN"/>
              </w:rPr>
              <w:t xml:space="preserve"> (</w:t>
            </w:r>
            <w:proofErr w:type="gramEnd"/>
            <w:r w:rsidRPr="00B935CE">
              <w:rPr>
                <w:rFonts w:ascii="Calibri" w:hAnsi="Calibri" w:cs="Tahoma"/>
                <w:color w:val="FF0000"/>
                <w:lang w:val="en-IN"/>
              </w:rPr>
              <w:t>Training Module/Plan TBD)</w:t>
            </w:r>
          </w:p>
          <w:p w14:paraId="2D6F8DF7" w14:textId="77777777" w:rsidR="006D1B43" w:rsidRDefault="006D1B43" w:rsidP="00D9229D">
            <w:pPr>
              <w:ind w:right="162"/>
              <w:jc w:val="both"/>
              <w:rPr>
                <w:rFonts w:ascii="Calibri" w:hAnsi="Calibri" w:cs="Tahoma"/>
                <w:b/>
                <w:bCs/>
                <w:lang w:val="en-IN"/>
              </w:rPr>
            </w:pPr>
            <w:r w:rsidRPr="006D1B43">
              <w:rPr>
                <w:rFonts w:ascii="Calibri" w:hAnsi="Calibri" w:cs="Tahoma"/>
                <w:b/>
                <w:bCs/>
                <w:lang w:val="en-IN"/>
              </w:rPr>
              <w:t>1.2.</w:t>
            </w:r>
            <w:r w:rsidR="00D9229D">
              <w:rPr>
                <w:rFonts w:ascii="Calibri" w:hAnsi="Calibri" w:cs="Tahoma"/>
                <w:b/>
                <w:bCs/>
                <w:lang w:val="en-IN"/>
              </w:rPr>
              <w:t>3</w:t>
            </w:r>
            <w:r>
              <w:rPr>
                <w:rFonts w:ascii="Calibri" w:hAnsi="Calibri" w:cs="Tahoma"/>
                <w:lang w:val="en-IN"/>
              </w:rPr>
              <w:t xml:space="preserve"> </w:t>
            </w:r>
            <w:r w:rsidR="00D9229D">
              <w:rPr>
                <w:rFonts w:ascii="Calibri" w:hAnsi="Calibri" w:cs="Tahoma"/>
                <w:b/>
                <w:bCs/>
                <w:lang w:val="en-IN"/>
              </w:rPr>
              <w:t>Disciplinary process</w:t>
            </w:r>
          </w:p>
          <w:p w14:paraId="2BA60E8E" w14:textId="77777777" w:rsidR="00D9229D" w:rsidRPr="00D9229D" w:rsidRDefault="00D9229D" w:rsidP="00D9229D">
            <w:p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D9229D">
              <w:rPr>
                <w:rFonts w:ascii="Calibri" w:hAnsi="Calibri" w:cs="Tahoma"/>
                <w:lang w:val="en-IN"/>
              </w:rPr>
              <w:t>Refer to Disciplinary action policy Doc# 1752 &amp; Disciplinary violation Doc# 230 on GUIDE.</w:t>
            </w:r>
          </w:p>
          <w:p w14:paraId="1C891E8D" w14:textId="77777777" w:rsidR="006D1B43" w:rsidRDefault="00854A80" w:rsidP="00854A80">
            <w:pPr>
              <w:ind w:right="162"/>
              <w:jc w:val="both"/>
              <w:rPr>
                <w:rFonts w:ascii="Calibri" w:hAnsi="Calibri" w:cs="Tahoma"/>
                <w:b/>
                <w:bCs/>
                <w:u w:val="single"/>
                <w:lang w:val="en-IN"/>
              </w:rPr>
            </w:pPr>
            <w:r w:rsidRPr="00854A80">
              <w:rPr>
                <w:rFonts w:ascii="Calibri" w:hAnsi="Calibri" w:cs="Tahoma"/>
                <w:b/>
                <w:bCs/>
                <w:u w:val="single"/>
                <w:lang w:val="en-IN"/>
              </w:rPr>
              <w:t>1.3</w:t>
            </w:r>
            <w:r w:rsidR="00C4546D" w:rsidRPr="00854A80">
              <w:rPr>
                <w:rFonts w:ascii="Calibri" w:hAnsi="Calibri" w:cs="Tahoma"/>
                <w:b/>
                <w:bCs/>
                <w:u w:val="single"/>
                <w:lang w:val="en-IN"/>
              </w:rPr>
              <w:t xml:space="preserve"> </w:t>
            </w:r>
            <w:r w:rsidRPr="00854A80">
              <w:rPr>
                <w:rFonts w:ascii="Calibri" w:hAnsi="Calibri" w:cs="Tahoma"/>
                <w:b/>
                <w:bCs/>
                <w:u w:val="single"/>
                <w:lang w:val="en-IN"/>
              </w:rPr>
              <w:t>Termination and change of employment</w:t>
            </w:r>
          </w:p>
          <w:p w14:paraId="5365CD34" w14:textId="77777777" w:rsidR="00854A80" w:rsidRPr="00854A80" w:rsidRDefault="00854A80" w:rsidP="00854A80">
            <w:pPr>
              <w:ind w:right="162"/>
              <w:jc w:val="both"/>
              <w:rPr>
                <w:rFonts w:ascii="Calibri" w:hAnsi="Calibri" w:cs="Tahoma"/>
                <w:b/>
                <w:bCs/>
                <w:lang w:val="en-IN"/>
              </w:rPr>
            </w:pPr>
            <w:r w:rsidRPr="00854A80">
              <w:rPr>
                <w:rFonts w:ascii="Calibri" w:hAnsi="Calibri" w:cs="Tahoma"/>
                <w:b/>
                <w:bCs/>
                <w:lang w:val="en-IN"/>
              </w:rPr>
              <w:t>1.3.1 Termination or change of employment responsibilities</w:t>
            </w:r>
          </w:p>
          <w:p w14:paraId="037E36C2" w14:textId="77777777" w:rsidR="00854A80" w:rsidRPr="00854A80" w:rsidRDefault="00854A80" w:rsidP="00854A80">
            <w:p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D9229D">
              <w:rPr>
                <w:rFonts w:ascii="Calibri" w:hAnsi="Calibri" w:cs="Tahoma"/>
                <w:lang w:val="en-IN"/>
              </w:rPr>
              <w:t xml:space="preserve">Refer to </w:t>
            </w:r>
            <w:r>
              <w:rPr>
                <w:rFonts w:ascii="Calibri" w:hAnsi="Calibri" w:cs="Tahoma"/>
                <w:lang w:val="en-IN"/>
              </w:rPr>
              <w:t>Resignation &amp; Termination policy on GUIDE under Doc# 1922.</w:t>
            </w:r>
          </w:p>
          <w:p w14:paraId="1C07756A" w14:textId="77777777" w:rsidR="00A4449F" w:rsidRPr="00363CE0" w:rsidRDefault="00363CE0" w:rsidP="00363CE0">
            <w:pPr>
              <w:ind w:right="162"/>
              <w:jc w:val="both"/>
              <w:rPr>
                <w:rFonts w:ascii="Calibri" w:hAnsi="Calibri" w:cs="Tahoma"/>
                <w:b/>
                <w:bCs/>
                <w:u w:val="single"/>
                <w:lang w:val="en-IN"/>
              </w:rPr>
            </w:pPr>
            <w:bookmarkStart w:id="0" w:name="_Toc521829169"/>
            <w:r>
              <w:rPr>
                <w:rFonts w:ascii="Calibri" w:hAnsi="Calibri" w:cs="Tahoma"/>
                <w:b/>
                <w:bCs/>
                <w:u w:val="single"/>
                <w:lang w:val="en-IN"/>
              </w:rPr>
              <w:t xml:space="preserve">2. </w:t>
            </w:r>
            <w:r w:rsidR="00A4449F" w:rsidRPr="00363CE0">
              <w:rPr>
                <w:rFonts w:ascii="Calibri" w:hAnsi="Calibri" w:cs="Tahoma"/>
                <w:b/>
                <w:bCs/>
                <w:u w:val="single"/>
                <w:lang w:val="en-IN"/>
              </w:rPr>
              <w:t>Review Period</w:t>
            </w:r>
            <w:bookmarkEnd w:id="0"/>
          </w:p>
          <w:p w14:paraId="65301B2D" w14:textId="77777777" w:rsidR="00A4449F" w:rsidRPr="00363CE0" w:rsidRDefault="00A4449F" w:rsidP="00363CE0">
            <w:p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363CE0">
              <w:rPr>
                <w:rFonts w:ascii="Calibri" w:hAnsi="Calibri" w:cs="Tahoma"/>
                <w:lang w:val="en-IN"/>
              </w:rPr>
              <w:t>The policy will be reviewed by the NATIONAL IT MANAGER on an annual basis or as mandated by a major change in the business, legal, regulatory or other compliance requirements.</w:t>
            </w:r>
          </w:p>
          <w:p w14:paraId="018F8BFB" w14:textId="77777777" w:rsidR="00A4449F" w:rsidRPr="00363CE0" w:rsidRDefault="00363CE0" w:rsidP="00363CE0">
            <w:pPr>
              <w:ind w:right="162"/>
              <w:jc w:val="both"/>
              <w:rPr>
                <w:rFonts w:ascii="Calibri" w:hAnsi="Calibri" w:cs="Tahoma"/>
                <w:b/>
                <w:bCs/>
                <w:u w:val="single"/>
                <w:lang w:val="en-IN"/>
              </w:rPr>
            </w:pPr>
            <w:bookmarkStart w:id="1" w:name="_Toc435609883"/>
            <w:bookmarkStart w:id="2" w:name="_Toc521829170"/>
            <w:r>
              <w:rPr>
                <w:rFonts w:ascii="Calibri" w:hAnsi="Calibri" w:cs="Tahoma"/>
                <w:b/>
                <w:bCs/>
                <w:u w:val="single"/>
                <w:lang w:val="en-IN"/>
              </w:rPr>
              <w:t xml:space="preserve">3. </w:t>
            </w:r>
            <w:r w:rsidR="00A4449F" w:rsidRPr="00363CE0">
              <w:rPr>
                <w:rFonts w:ascii="Calibri" w:hAnsi="Calibri" w:cs="Tahoma"/>
                <w:b/>
                <w:bCs/>
                <w:u w:val="single"/>
                <w:lang w:val="en-IN"/>
              </w:rPr>
              <w:t>Enforcement</w:t>
            </w:r>
            <w:bookmarkEnd w:id="1"/>
            <w:bookmarkEnd w:id="2"/>
          </w:p>
          <w:p w14:paraId="7AF9CE9B" w14:textId="77777777" w:rsidR="00A4449F" w:rsidRPr="003377EB" w:rsidRDefault="00A4449F" w:rsidP="00A4449F">
            <w:pPr>
              <w:pStyle w:val="ListParagraph"/>
              <w:keepNext/>
              <w:numPr>
                <w:ilvl w:val="0"/>
                <w:numId w:val="19"/>
              </w:numPr>
              <w:tabs>
                <w:tab w:val="left" w:pos="1134"/>
              </w:tabs>
              <w:spacing w:before="240" w:after="60" w:line="360" w:lineRule="auto"/>
              <w:ind w:right="113"/>
              <w:contextualSpacing w:val="0"/>
              <w:outlineLvl w:val="0"/>
              <w:rPr>
                <w:rFonts w:ascii="Tahoma" w:eastAsia="Times New Roman" w:hAnsi="Tahoma" w:cs="Tahoma"/>
                <w:b/>
                <w:bCs/>
                <w:smallCaps/>
                <w:vanish/>
                <w:color w:val="000080"/>
                <w:spacing w:val="20"/>
                <w:kern w:val="32"/>
                <w:sz w:val="28"/>
                <w:szCs w:val="28"/>
                <w:lang w:val="en-GB"/>
              </w:rPr>
            </w:pPr>
            <w:bookmarkStart w:id="3" w:name="_Toc435797706"/>
            <w:bookmarkStart w:id="4" w:name="_Toc435949877"/>
            <w:bookmarkStart w:id="5" w:name="_Toc435950387"/>
            <w:bookmarkStart w:id="6" w:name="_Toc435954487"/>
            <w:bookmarkStart w:id="7" w:name="_Toc520924090"/>
            <w:bookmarkStart w:id="8" w:name="_Toc520973998"/>
            <w:bookmarkStart w:id="9" w:name="_Toc520976643"/>
            <w:bookmarkStart w:id="10" w:name="_Toc521402576"/>
            <w:bookmarkStart w:id="11" w:name="_Toc521829171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5C7819E0" w14:textId="77777777" w:rsidR="00A4449F" w:rsidRPr="003377EB" w:rsidRDefault="00A4449F" w:rsidP="00A4449F">
            <w:pPr>
              <w:pStyle w:val="ListParagraph"/>
              <w:keepNext/>
              <w:numPr>
                <w:ilvl w:val="0"/>
                <w:numId w:val="19"/>
              </w:numPr>
              <w:tabs>
                <w:tab w:val="left" w:pos="1134"/>
              </w:tabs>
              <w:spacing w:before="240" w:after="60" w:line="360" w:lineRule="auto"/>
              <w:ind w:right="113"/>
              <w:contextualSpacing w:val="0"/>
              <w:outlineLvl w:val="0"/>
              <w:rPr>
                <w:rFonts w:ascii="Tahoma" w:eastAsia="Times New Roman" w:hAnsi="Tahoma" w:cs="Tahoma"/>
                <w:b/>
                <w:bCs/>
                <w:smallCaps/>
                <w:vanish/>
                <w:color w:val="000080"/>
                <w:spacing w:val="20"/>
                <w:kern w:val="32"/>
                <w:sz w:val="28"/>
                <w:szCs w:val="28"/>
                <w:lang w:val="en-GB"/>
              </w:rPr>
            </w:pPr>
            <w:bookmarkStart w:id="12" w:name="_Toc521829172"/>
            <w:bookmarkEnd w:id="12"/>
          </w:p>
          <w:p w14:paraId="06859EA4" w14:textId="77777777" w:rsidR="00A4449F" w:rsidRPr="003377EB" w:rsidRDefault="00A4449F" w:rsidP="00A4449F">
            <w:pPr>
              <w:pStyle w:val="ListParagraph"/>
              <w:keepNext/>
              <w:numPr>
                <w:ilvl w:val="0"/>
                <w:numId w:val="19"/>
              </w:numPr>
              <w:tabs>
                <w:tab w:val="left" w:pos="1134"/>
              </w:tabs>
              <w:spacing w:before="240" w:after="60" w:line="360" w:lineRule="auto"/>
              <w:ind w:right="113"/>
              <w:contextualSpacing w:val="0"/>
              <w:outlineLvl w:val="0"/>
              <w:rPr>
                <w:rFonts w:ascii="Tahoma" w:eastAsia="Times New Roman" w:hAnsi="Tahoma" w:cs="Tahoma"/>
                <w:b/>
                <w:bCs/>
                <w:smallCaps/>
                <w:vanish/>
                <w:color w:val="000080"/>
                <w:spacing w:val="20"/>
                <w:kern w:val="32"/>
                <w:sz w:val="28"/>
                <w:szCs w:val="28"/>
                <w:lang w:val="en-GB"/>
              </w:rPr>
            </w:pPr>
            <w:bookmarkStart w:id="13" w:name="_Toc521829173"/>
            <w:bookmarkEnd w:id="13"/>
          </w:p>
          <w:p w14:paraId="4F239B25" w14:textId="77777777" w:rsidR="00A4449F" w:rsidRPr="003377EB" w:rsidRDefault="00A4449F" w:rsidP="00A4449F">
            <w:pPr>
              <w:pStyle w:val="ListParagraph"/>
              <w:keepNext/>
              <w:numPr>
                <w:ilvl w:val="0"/>
                <w:numId w:val="19"/>
              </w:numPr>
              <w:tabs>
                <w:tab w:val="left" w:pos="1134"/>
              </w:tabs>
              <w:spacing w:before="240" w:after="60" w:line="360" w:lineRule="auto"/>
              <w:ind w:right="113"/>
              <w:contextualSpacing w:val="0"/>
              <w:outlineLvl w:val="0"/>
              <w:rPr>
                <w:rFonts w:ascii="Tahoma" w:eastAsia="Times New Roman" w:hAnsi="Tahoma" w:cs="Tahoma"/>
                <w:b/>
                <w:bCs/>
                <w:smallCaps/>
                <w:vanish/>
                <w:color w:val="000080"/>
                <w:spacing w:val="20"/>
                <w:kern w:val="32"/>
                <w:sz w:val="28"/>
                <w:szCs w:val="28"/>
                <w:lang w:val="en-GB"/>
              </w:rPr>
            </w:pPr>
            <w:bookmarkStart w:id="14" w:name="_Toc521829174"/>
            <w:bookmarkEnd w:id="14"/>
          </w:p>
          <w:p w14:paraId="2403C2AB" w14:textId="77777777" w:rsidR="00A4449F" w:rsidRPr="003377EB" w:rsidRDefault="00A4449F" w:rsidP="00A4449F">
            <w:pPr>
              <w:pStyle w:val="ListParagraph"/>
              <w:keepNext/>
              <w:numPr>
                <w:ilvl w:val="0"/>
                <w:numId w:val="19"/>
              </w:numPr>
              <w:tabs>
                <w:tab w:val="left" w:pos="1134"/>
              </w:tabs>
              <w:spacing w:before="240" w:after="60" w:line="360" w:lineRule="auto"/>
              <w:ind w:right="113"/>
              <w:contextualSpacing w:val="0"/>
              <w:outlineLvl w:val="0"/>
              <w:rPr>
                <w:rFonts w:ascii="Tahoma" w:eastAsia="Times New Roman" w:hAnsi="Tahoma" w:cs="Tahoma"/>
                <w:b/>
                <w:bCs/>
                <w:smallCaps/>
                <w:vanish/>
                <w:color w:val="000080"/>
                <w:spacing w:val="20"/>
                <w:kern w:val="32"/>
                <w:sz w:val="28"/>
                <w:szCs w:val="28"/>
                <w:lang w:val="en-GB"/>
              </w:rPr>
            </w:pPr>
            <w:bookmarkStart w:id="15" w:name="_Toc521829175"/>
            <w:bookmarkEnd w:id="15"/>
          </w:p>
          <w:p w14:paraId="3F4FE6FF" w14:textId="77777777" w:rsidR="00A4449F" w:rsidRPr="003377EB" w:rsidRDefault="00A4449F" w:rsidP="00A4449F">
            <w:pPr>
              <w:pStyle w:val="ListParagraph"/>
              <w:keepNext/>
              <w:numPr>
                <w:ilvl w:val="0"/>
                <w:numId w:val="19"/>
              </w:numPr>
              <w:tabs>
                <w:tab w:val="left" w:pos="1134"/>
              </w:tabs>
              <w:spacing w:before="240" w:after="60" w:line="360" w:lineRule="auto"/>
              <w:ind w:right="113"/>
              <w:contextualSpacing w:val="0"/>
              <w:outlineLvl w:val="0"/>
              <w:rPr>
                <w:rFonts w:ascii="Tahoma" w:eastAsia="Times New Roman" w:hAnsi="Tahoma" w:cs="Tahoma"/>
                <w:b/>
                <w:bCs/>
                <w:smallCaps/>
                <w:vanish/>
                <w:color w:val="000080"/>
                <w:spacing w:val="20"/>
                <w:kern w:val="32"/>
                <w:sz w:val="28"/>
                <w:szCs w:val="28"/>
                <w:lang w:val="en-GB"/>
              </w:rPr>
            </w:pPr>
            <w:bookmarkStart w:id="16" w:name="_Toc521829176"/>
            <w:bookmarkEnd w:id="16"/>
          </w:p>
          <w:p w14:paraId="775DAC69" w14:textId="77777777" w:rsidR="00A4449F" w:rsidRPr="00363CE0" w:rsidRDefault="00363CE0" w:rsidP="00363CE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3.1 </w:t>
            </w:r>
            <w:r w:rsidR="00A4449F" w:rsidRPr="00363CE0">
              <w:rPr>
                <w:b/>
                <w:bCs/>
              </w:rPr>
              <w:t>Policy Violation</w:t>
            </w:r>
          </w:p>
          <w:p w14:paraId="5FAC27F0" w14:textId="77777777" w:rsidR="00A4449F" w:rsidRPr="00363CE0" w:rsidRDefault="00A4449F" w:rsidP="00BA08CD">
            <w:p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363CE0">
              <w:rPr>
                <w:rFonts w:ascii="Calibri" w:hAnsi="Calibri" w:cs="Tahoma"/>
                <w:lang w:val="en-IN"/>
              </w:rPr>
              <w:t xml:space="preserve">Violation of the policy shall result in corrective action </w:t>
            </w:r>
            <w:r w:rsidR="00BA08CD">
              <w:rPr>
                <w:rFonts w:ascii="Calibri" w:hAnsi="Calibri" w:cs="Tahoma"/>
                <w:lang w:val="en-IN"/>
              </w:rPr>
              <w:t>as per DVD</w:t>
            </w:r>
            <w:r w:rsidRPr="00363CE0">
              <w:rPr>
                <w:rFonts w:ascii="Calibri" w:hAnsi="Calibri" w:cs="Tahoma"/>
                <w:lang w:val="en-IN"/>
              </w:rPr>
              <w:t xml:space="preserve">. Disciplinary action shall be consistent with the severity of the incident, as determined by the investigation, and may include, but not limited to </w:t>
            </w:r>
          </w:p>
          <w:p w14:paraId="6A84FC53" w14:textId="77777777" w:rsidR="00A4449F" w:rsidRPr="00363CE0" w:rsidRDefault="00A4449F" w:rsidP="00363CE0">
            <w:pPr>
              <w:pStyle w:val="ListParagraph"/>
              <w:numPr>
                <w:ilvl w:val="0"/>
                <w:numId w:val="9"/>
              </w:num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363CE0">
              <w:rPr>
                <w:rFonts w:ascii="Calibri" w:hAnsi="Calibri" w:cs="Tahoma"/>
                <w:lang w:val="en-IN"/>
              </w:rPr>
              <w:lastRenderedPageBreak/>
              <w:t>Warning letter</w:t>
            </w:r>
          </w:p>
          <w:p w14:paraId="0AD0E9B3" w14:textId="77777777" w:rsidR="00A4449F" w:rsidRPr="00363CE0" w:rsidRDefault="00A4449F" w:rsidP="00363CE0">
            <w:pPr>
              <w:pStyle w:val="ListParagraph"/>
              <w:numPr>
                <w:ilvl w:val="0"/>
                <w:numId w:val="9"/>
              </w:num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363CE0">
              <w:rPr>
                <w:rFonts w:ascii="Calibri" w:hAnsi="Calibri" w:cs="Tahoma"/>
                <w:lang w:val="en-IN"/>
              </w:rPr>
              <w:t>Removal of access privileges to information assets.</w:t>
            </w:r>
          </w:p>
          <w:p w14:paraId="0BA240F0" w14:textId="77777777" w:rsidR="00A4449F" w:rsidRPr="00363CE0" w:rsidRDefault="00A4449F" w:rsidP="00363CE0">
            <w:pPr>
              <w:pStyle w:val="ListParagraph"/>
              <w:numPr>
                <w:ilvl w:val="0"/>
                <w:numId w:val="9"/>
              </w:num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363CE0">
              <w:rPr>
                <w:rFonts w:ascii="Calibri" w:hAnsi="Calibri" w:cs="Tahoma"/>
                <w:lang w:val="en-IN"/>
              </w:rPr>
              <w:t>Termination of employment or contract.</w:t>
            </w:r>
          </w:p>
          <w:p w14:paraId="6AA1E08C" w14:textId="77777777" w:rsidR="00A4449F" w:rsidRPr="00363CE0" w:rsidRDefault="00A4449F" w:rsidP="00363CE0">
            <w:pPr>
              <w:pStyle w:val="ListParagraph"/>
              <w:numPr>
                <w:ilvl w:val="0"/>
                <w:numId w:val="9"/>
              </w:num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363CE0">
              <w:rPr>
                <w:rFonts w:ascii="Calibri" w:hAnsi="Calibri" w:cs="Tahoma"/>
                <w:lang w:val="en-IN"/>
              </w:rPr>
              <w:t>Other actions deemed appropriate by management, HR department and Legal department.</w:t>
            </w:r>
          </w:p>
          <w:p w14:paraId="5F303EE3" w14:textId="77777777" w:rsidR="00A4449F" w:rsidRPr="00363CE0" w:rsidRDefault="00363CE0" w:rsidP="00363CE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3.2 </w:t>
            </w:r>
            <w:r w:rsidR="00A4449F" w:rsidRPr="00363CE0">
              <w:rPr>
                <w:b/>
                <w:bCs/>
              </w:rPr>
              <w:t>Policy Waiver</w:t>
            </w:r>
          </w:p>
          <w:p w14:paraId="58E9771C" w14:textId="77777777" w:rsidR="003050B7" w:rsidRPr="002660D7" w:rsidRDefault="00A4449F" w:rsidP="002660D7">
            <w:pPr>
              <w:ind w:right="162"/>
              <w:jc w:val="both"/>
              <w:rPr>
                <w:rFonts w:ascii="Calibri" w:hAnsi="Calibri" w:cs="Tahoma"/>
                <w:lang w:val="en-IN"/>
              </w:rPr>
            </w:pPr>
            <w:r w:rsidRPr="00363CE0">
              <w:rPr>
                <w:rFonts w:ascii="Calibri" w:hAnsi="Calibri" w:cs="Tahoma"/>
                <w:lang w:val="en-IN"/>
              </w:rPr>
              <w:t xml:space="preserve">Any exception to this policy has to be formally approved by </w:t>
            </w:r>
            <w:r w:rsidR="002660D7">
              <w:rPr>
                <w:rFonts w:ascii="Calibri" w:hAnsi="Calibri" w:cs="Tahoma"/>
                <w:lang w:val="en-IN"/>
              </w:rPr>
              <w:t>the Managing Director and documented.</w:t>
            </w:r>
          </w:p>
        </w:tc>
      </w:tr>
    </w:tbl>
    <w:p w14:paraId="6F5DB6AB" w14:textId="77777777" w:rsidR="003050B7" w:rsidRPr="002928E9" w:rsidRDefault="003050B7" w:rsidP="001241FF"/>
    <w:p w14:paraId="7935C404" w14:textId="77777777" w:rsidR="00B50A6C" w:rsidRDefault="00B50A6C"/>
    <w:sectPr w:rsidR="00B50A6C" w:rsidSect="00C844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BD55" w14:textId="77777777" w:rsidR="00587B2F" w:rsidRDefault="00587B2F" w:rsidP="003050B7">
      <w:pPr>
        <w:spacing w:after="0"/>
      </w:pPr>
      <w:r>
        <w:separator/>
      </w:r>
    </w:p>
  </w:endnote>
  <w:endnote w:type="continuationSeparator" w:id="0">
    <w:p w14:paraId="540A340C" w14:textId="77777777" w:rsidR="00587B2F" w:rsidRDefault="00587B2F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C120" w14:textId="77777777" w:rsidR="00B747A8" w:rsidRDefault="00B7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9721" w14:textId="0EE0F1B3" w:rsidR="00000000" w:rsidRPr="00B93592" w:rsidRDefault="00B93592" w:rsidP="002D6CD3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="00A80B81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A80B81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BA08CD">
      <w:rPr>
        <w:rFonts w:asciiTheme="minorHAnsi" w:hAnsiTheme="minorHAnsi" w:cstheme="minorHAnsi"/>
        <w:b/>
        <w:noProof/>
        <w:sz w:val="20"/>
        <w:szCs w:val="20"/>
      </w:rPr>
      <w:t>1</w:t>
    </w:r>
    <w:r w:rsidR="00A80B81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="00A80B81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A80B81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BA08CD">
      <w:rPr>
        <w:rFonts w:asciiTheme="minorHAnsi" w:hAnsiTheme="minorHAnsi" w:cstheme="minorHAnsi"/>
        <w:b/>
        <w:noProof/>
        <w:sz w:val="20"/>
        <w:szCs w:val="20"/>
      </w:rPr>
      <w:t>3</w:t>
    </w:r>
    <w:r w:rsidR="00A80B81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B93592">
      <w:rPr>
        <w:rFonts w:asciiTheme="minorHAnsi" w:hAnsiTheme="minorHAnsi" w:cstheme="minorHAnsi"/>
        <w:sz w:val="20"/>
        <w:szCs w:val="20"/>
      </w:rPr>
      <w:t xml:space="preserve"> </w:t>
    </w:r>
  </w:p>
  <w:p w14:paraId="3DB7A601" w14:textId="66A51DC4" w:rsidR="00B93592" w:rsidRPr="00B93592" w:rsidRDefault="007038E5" w:rsidP="00B93592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2F92" w14:textId="77777777" w:rsidR="00B747A8" w:rsidRDefault="00B74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5149" w14:textId="77777777" w:rsidR="00587B2F" w:rsidRDefault="00587B2F" w:rsidP="003050B7">
      <w:pPr>
        <w:spacing w:after="0"/>
      </w:pPr>
      <w:r>
        <w:separator/>
      </w:r>
    </w:p>
  </w:footnote>
  <w:footnote w:type="continuationSeparator" w:id="0">
    <w:p w14:paraId="29A26241" w14:textId="77777777" w:rsidR="00587B2F" w:rsidRDefault="00587B2F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6FB8" w14:textId="77777777" w:rsidR="00B747A8" w:rsidRDefault="00B74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607DB0" w:rsidRPr="003069FB" w14:paraId="053463A5" w14:textId="77777777" w:rsidTr="00980C86">
      <w:tc>
        <w:tcPr>
          <w:tcW w:w="4230" w:type="dxa"/>
        </w:tcPr>
        <w:p w14:paraId="4D16429E" w14:textId="77777777" w:rsidR="00000000" w:rsidRPr="003069FB" w:rsidRDefault="00B93592" w:rsidP="003050B7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18DAB82" wp14:editId="42F98CB8">
                <wp:extent cx="1349713" cy="342900"/>
                <wp:effectExtent l="19050" t="0" r="2837" b="0"/>
                <wp:docPr id="1" name="Picture 0" descr="official smsa logo 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 smsa logo en.png"/>
                        <pic:cNvPicPr/>
                      </pic:nvPicPr>
                      <pic:blipFill>
                        <a:blip r:embed="rId1"/>
                        <a:srcRect b="380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983" cy="343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6A0697F0" w14:textId="77777777" w:rsidR="00000000" w:rsidRDefault="00E270D8" w:rsidP="00D10214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Human Resource Security</w:t>
          </w:r>
          <w:r w:rsidR="00AD2D1D" w:rsidRPr="008A0662">
            <w:rPr>
              <w:rFonts w:ascii="Calibri" w:hAnsi="Calibri"/>
              <w:b/>
              <w:noProof/>
              <w:sz w:val="32"/>
            </w:rPr>
            <w:t xml:space="preserve"> Policy</w:t>
          </w:r>
        </w:p>
        <w:p w14:paraId="19FFCBA6" w14:textId="77777777" w:rsidR="00000000" w:rsidRPr="003069FB" w:rsidRDefault="00AD2D1D" w:rsidP="00C64A9D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B93592">
            <w:rPr>
              <w:rFonts w:ascii="Calibri" w:hAnsi="Calibri"/>
              <w:noProof/>
            </w:rPr>
            <w:t>/ Department</w:t>
          </w:r>
          <w:r w:rsidRPr="00524C73">
            <w:rPr>
              <w:rFonts w:ascii="Calibri" w:hAnsi="Calibri"/>
              <w:noProof/>
            </w:rPr>
            <w:t xml:space="preserve">: </w:t>
          </w:r>
          <w:r w:rsidR="00C64A9D">
            <w:rPr>
              <w:rFonts w:ascii="Calibri" w:hAnsi="Calibri"/>
              <w:noProof/>
            </w:rPr>
            <w:t>ITD</w:t>
          </w:r>
        </w:p>
      </w:tc>
    </w:tr>
  </w:tbl>
  <w:p w14:paraId="45DF573B" w14:textId="77777777" w:rsidR="00000000" w:rsidRPr="00607DB0" w:rsidRDefault="00000000" w:rsidP="00B93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F47D" w14:textId="77777777" w:rsidR="00B747A8" w:rsidRDefault="00B74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2117"/>
    <w:multiLevelType w:val="hybridMultilevel"/>
    <w:tmpl w:val="A1E0BF9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3CAB7A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04A39"/>
    <w:multiLevelType w:val="hybridMultilevel"/>
    <w:tmpl w:val="D108D656"/>
    <w:lvl w:ilvl="0" w:tplc="96EEC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30528"/>
    <w:multiLevelType w:val="hybridMultilevel"/>
    <w:tmpl w:val="D4B6FCAC"/>
    <w:lvl w:ilvl="0" w:tplc="245A1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B019E"/>
    <w:multiLevelType w:val="hybridMultilevel"/>
    <w:tmpl w:val="83A034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EA26131"/>
    <w:multiLevelType w:val="hybridMultilevel"/>
    <w:tmpl w:val="A4E8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74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AB53DE"/>
    <w:multiLevelType w:val="hybridMultilevel"/>
    <w:tmpl w:val="573A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995"/>
    <w:multiLevelType w:val="hybridMultilevel"/>
    <w:tmpl w:val="968CDF2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D4832"/>
    <w:multiLevelType w:val="hybridMultilevel"/>
    <w:tmpl w:val="F4BECE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2A31ED"/>
    <w:multiLevelType w:val="hybridMultilevel"/>
    <w:tmpl w:val="216E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0163"/>
    <w:multiLevelType w:val="hybridMultilevel"/>
    <w:tmpl w:val="E5DCBF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715D98"/>
    <w:multiLevelType w:val="hybridMultilevel"/>
    <w:tmpl w:val="EFBE04A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52D74740"/>
    <w:multiLevelType w:val="hybridMultilevel"/>
    <w:tmpl w:val="70C6B8B0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 w15:restartNumberingAfterBreak="0">
    <w:nsid w:val="5E164668"/>
    <w:multiLevelType w:val="hybridMultilevel"/>
    <w:tmpl w:val="8B269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E8075F"/>
    <w:multiLevelType w:val="multilevel"/>
    <w:tmpl w:val="15968E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1990918"/>
    <w:multiLevelType w:val="hybridMultilevel"/>
    <w:tmpl w:val="3D9623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AC60008"/>
    <w:multiLevelType w:val="hybridMultilevel"/>
    <w:tmpl w:val="C4CC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808B9"/>
    <w:multiLevelType w:val="multilevel"/>
    <w:tmpl w:val="155E38BA"/>
    <w:lvl w:ilvl="0">
      <w:start w:val="1"/>
      <w:numFmt w:val="decimal"/>
      <w:pStyle w:val="AJMBNK-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JMBNK-Heading2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3-AJMBNK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A8921F0"/>
    <w:multiLevelType w:val="hybridMultilevel"/>
    <w:tmpl w:val="7820DE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2A6E2D"/>
    <w:multiLevelType w:val="hybridMultilevel"/>
    <w:tmpl w:val="711A8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969689">
    <w:abstractNumId w:val="9"/>
  </w:num>
  <w:num w:numId="2" w16cid:durableId="1016349268">
    <w:abstractNumId w:val="3"/>
  </w:num>
  <w:num w:numId="3" w16cid:durableId="450978209">
    <w:abstractNumId w:val="11"/>
  </w:num>
  <w:num w:numId="4" w16cid:durableId="252978807">
    <w:abstractNumId w:val="17"/>
  </w:num>
  <w:num w:numId="5" w16cid:durableId="1832019108">
    <w:abstractNumId w:val="5"/>
  </w:num>
  <w:num w:numId="6" w16cid:durableId="1226643921">
    <w:abstractNumId w:val="21"/>
  </w:num>
  <w:num w:numId="7" w16cid:durableId="1650786891">
    <w:abstractNumId w:val="6"/>
  </w:num>
  <w:num w:numId="8" w16cid:durableId="1868594998">
    <w:abstractNumId w:val="13"/>
  </w:num>
  <w:num w:numId="9" w16cid:durableId="1783501417">
    <w:abstractNumId w:val="7"/>
  </w:num>
  <w:num w:numId="10" w16cid:durableId="1208687198">
    <w:abstractNumId w:val="4"/>
  </w:num>
  <w:num w:numId="11" w16cid:durableId="2123066948">
    <w:abstractNumId w:val="10"/>
  </w:num>
  <w:num w:numId="12" w16cid:durableId="943653296">
    <w:abstractNumId w:val="2"/>
  </w:num>
  <w:num w:numId="13" w16cid:durableId="1149636821">
    <w:abstractNumId w:val="12"/>
  </w:num>
  <w:num w:numId="14" w16cid:durableId="346255470">
    <w:abstractNumId w:val="1"/>
  </w:num>
  <w:num w:numId="15" w16cid:durableId="1836218447">
    <w:abstractNumId w:val="15"/>
  </w:num>
  <w:num w:numId="16" w16cid:durableId="1626621542">
    <w:abstractNumId w:val="16"/>
  </w:num>
  <w:num w:numId="17" w16cid:durableId="1652055803">
    <w:abstractNumId w:val="14"/>
  </w:num>
  <w:num w:numId="18" w16cid:durableId="119420817">
    <w:abstractNumId w:val="20"/>
  </w:num>
  <w:num w:numId="19" w16cid:durableId="133303386">
    <w:abstractNumId w:val="19"/>
  </w:num>
  <w:num w:numId="20" w16cid:durableId="164249316">
    <w:abstractNumId w:val="0"/>
  </w:num>
  <w:num w:numId="21" w16cid:durableId="1726566319">
    <w:abstractNumId w:val="8"/>
  </w:num>
  <w:num w:numId="22" w16cid:durableId="6557203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0B7"/>
    <w:rsid w:val="000002C8"/>
    <w:rsid w:val="0000200C"/>
    <w:rsid w:val="000034A0"/>
    <w:rsid w:val="00003C93"/>
    <w:rsid w:val="000042AA"/>
    <w:rsid w:val="00005379"/>
    <w:rsid w:val="0000678F"/>
    <w:rsid w:val="00006CDD"/>
    <w:rsid w:val="00006DB4"/>
    <w:rsid w:val="00006E43"/>
    <w:rsid w:val="00007F8E"/>
    <w:rsid w:val="0001023F"/>
    <w:rsid w:val="00011BDF"/>
    <w:rsid w:val="00011CFB"/>
    <w:rsid w:val="000128B5"/>
    <w:rsid w:val="00012F26"/>
    <w:rsid w:val="00013632"/>
    <w:rsid w:val="00013F2A"/>
    <w:rsid w:val="00015AD0"/>
    <w:rsid w:val="000226CC"/>
    <w:rsid w:val="00022776"/>
    <w:rsid w:val="00023B75"/>
    <w:rsid w:val="00027D5C"/>
    <w:rsid w:val="00033B1D"/>
    <w:rsid w:val="000355EC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D03"/>
    <w:rsid w:val="000560DE"/>
    <w:rsid w:val="0006049B"/>
    <w:rsid w:val="0006086F"/>
    <w:rsid w:val="0006162A"/>
    <w:rsid w:val="0006546A"/>
    <w:rsid w:val="00065CC6"/>
    <w:rsid w:val="00067C6B"/>
    <w:rsid w:val="00071AA5"/>
    <w:rsid w:val="0007299C"/>
    <w:rsid w:val="0007490B"/>
    <w:rsid w:val="00075B32"/>
    <w:rsid w:val="0007655E"/>
    <w:rsid w:val="00076663"/>
    <w:rsid w:val="000776A6"/>
    <w:rsid w:val="0007778B"/>
    <w:rsid w:val="00081340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C1B25"/>
    <w:rsid w:val="000C2592"/>
    <w:rsid w:val="000C31D4"/>
    <w:rsid w:val="000C4EF7"/>
    <w:rsid w:val="000C5510"/>
    <w:rsid w:val="000C5F24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1FEE"/>
    <w:rsid w:val="000E21AA"/>
    <w:rsid w:val="000E25A6"/>
    <w:rsid w:val="000E2769"/>
    <w:rsid w:val="000E3AE2"/>
    <w:rsid w:val="000E4D6D"/>
    <w:rsid w:val="000E6A5D"/>
    <w:rsid w:val="000E6E77"/>
    <w:rsid w:val="000E79B3"/>
    <w:rsid w:val="000F01F0"/>
    <w:rsid w:val="000F1612"/>
    <w:rsid w:val="000F201C"/>
    <w:rsid w:val="000F2875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132B"/>
    <w:rsid w:val="001020CE"/>
    <w:rsid w:val="00102A7E"/>
    <w:rsid w:val="0010346B"/>
    <w:rsid w:val="001038B8"/>
    <w:rsid w:val="00103C4A"/>
    <w:rsid w:val="0010427C"/>
    <w:rsid w:val="001056B1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3775"/>
    <w:rsid w:val="00123BE5"/>
    <w:rsid w:val="00124239"/>
    <w:rsid w:val="00124350"/>
    <w:rsid w:val="0012621D"/>
    <w:rsid w:val="001274B5"/>
    <w:rsid w:val="0012787B"/>
    <w:rsid w:val="00130463"/>
    <w:rsid w:val="00130873"/>
    <w:rsid w:val="00130F35"/>
    <w:rsid w:val="00131DD1"/>
    <w:rsid w:val="00132341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7AD"/>
    <w:rsid w:val="0015389E"/>
    <w:rsid w:val="00153F99"/>
    <w:rsid w:val="00154F40"/>
    <w:rsid w:val="00154F4F"/>
    <w:rsid w:val="0015716A"/>
    <w:rsid w:val="001578E3"/>
    <w:rsid w:val="00157FF6"/>
    <w:rsid w:val="00160FF7"/>
    <w:rsid w:val="00161C73"/>
    <w:rsid w:val="0016324F"/>
    <w:rsid w:val="00163B75"/>
    <w:rsid w:val="001642D3"/>
    <w:rsid w:val="0016530C"/>
    <w:rsid w:val="0016532D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777E"/>
    <w:rsid w:val="001C3B33"/>
    <w:rsid w:val="001C5240"/>
    <w:rsid w:val="001C546F"/>
    <w:rsid w:val="001C67AC"/>
    <w:rsid w:val="001D1441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72A4"/>
    <w:rsid w:val="001D7D20"/>
    <w:rsid w:val="001E0D40"/>
    <w:rsid w:val="001E227C"/>
    <w:rsid w:val="001E2289"/>
    <w:rsid w:val="001E2744"/>
    <w:rsid w:val="001E3E63"/>
    <w:rsid w:val="001E44D7"/>
    <w:rsid w:val="001E53AC"/>
    <w:rsid w:val="001E5D18"/>
    <w:rsid w:val="001F0847"/>
    <w:rsid w:val="001F1483"/>
    <w:rsid w:val="001F18E1"/>
    <w:rsid w:val="001F2432"/>
    <w:rsid w:val="001F2F32"/>
    <w:rsid w:val="001F3756"/>
    <w:rsid w:val="001F4BE8"/>
    <w:rsid w:val="001F5D32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993"/>
    <w:rsid w:val="002153B2"/>
    <w:rsid w:val="00215740"/>
    <w:rsid w:val="00216B21"/>
    <w:rsid w:val="00217429"/>
    <w:rsid w:val="0022002C"/>
    <w:rsid w:val="00220920"/>
    <w:rsid w:val="00220B50"/>
    <w:rsid w:val="00220D86"/>
    <w:rsid w:val="002219F4"/>
    <w:rsid w:val="0022291A"/>
    <w:rsid w:val="00223927"/>
    <w:rsid w:val="002254CD"/>
    <w:rsid w:val="00225923"/>
    <w:rsid w:val="002266CE"/>
    <w:rsid w:val="00227CF1"/>
    <w:rsid w:val="00230DF0"/>
    <w:rsid w:val="00231823"/>
    <w:rsid w:val="00234042"/>
    <w:rsid w:val="00234799"/>
    <w:rsid w:val="00234EBB"/>
    <w:rsid w:val="00236CD6"/>
    <w:rsid w:val="00236EA7"/>
    <w:rsid w:val="00236F36"/>
    <w:rsid w:val="002412F9"/>
    <w:rsid w:val="00243A2F"/>
    <w:rsid w:val="00244D4C"/>
    <w:rsid w:val="00245FC5"/>
    <w:rsid w:val="00246841"/>
    <w:rsid w:val="00250456"/>
    <w:rsid w:val="0025359F"/>
    <w:rsid w:val="002538DA"/>
    <w:rsid w:val="00253EEF"/>
    <w:rsid w:val="00254387"/>
    <w:rsid w:val="002545FE"/>
    <w:rsid w:val="00257124"/>
    <w:rsid w:val="002575A1"/>
    <w:rsid w:val="00261B9D"/>
    <w:rsid w:val="00262702"/>
    <w:rsid w:val="00262790"/>
    <w:rsid w:val="00265FB0"/>
    <w:rsid w:val="00266002"/>
    <w:rsid w:val="002660D7"/>
    <w:rsid w:val="00266294"/>
    <w:rsid w:val="00266475"/>
    <w:rsid w:val="00266CDF"/>
    <w:rsid w:val="00271DBA"/>
    <w:rsid w:val="0027312D"/>
    <w:rsid w:val="002754C3"/>
    <w:rsid w:val="00277DB8"/>
    <w:rsid w:val="0028000C"/>
    <w:rsid w:val="00280416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3E15"/>
    <w:rsid w:val="00294A9D"/>
    <w:rsid w:val="00295818"/>
    <w:rsid w:val="002A350C"/>
    <w:rsid w:val="002A4501"/>
    <w:rsid w:val="002A4AED"/>
    <w:rsid w:val="002B0B16"/>
    <w:rsid w:val="002B1B14"/>
    <w:rsid w:val="002B36E5"/>
    <w:rsid w:val="002B3964"/>
    <w:rsid w:val="002B4813"/>
    <w:rsid w:val="002C1178"/>
    <w:rsid w:val="002C25D0"/>
    <w:rsid w:val="002C2D44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6CD3"/>
    <w:rsid w:val="002D7270"/>
    <w:rsid w:val="002D7E9E"/>
    <w:rsid w:val="002E0559"/>
    <w:rsid w:val="002E2F50"/>
    <w:rsid w:val="002E3A91"/>
    <w:rsid w:val="002E575C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5039"/>
    <w:rsid w:val="00326A67"/>
    <w:rsid w:val="00331E52"/>
    <w:rsid w:val="00333055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3B9"/>
    <w:rsid w:val="00350138"/>
    <w:rsid w:val="00350AE4"/>
    <w:rsid w:val="00350C7F"/>
    <w:rsid w:val="00353254"/>
    <w:rsid w:val="00357416"/>
    <w:rsid w:val="0036179F"/>
    <w:rsid w:val="003630D2"/>
    <w:rsid w:val="0036391C"/>
    <w:rsid w:val="00363CE0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019D"/>
    <w:rsid w:val="003817FB"/>
    <w:rsid w:val="0038181C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10EB"/>
    <w:rsid w:val="003B12DD"/>
    <w:rsid w:val="003B16C5"/>
    <w:rsid w:val="003B34F0"/>
    <w:rsid w:val="003B51D3"/>
    <w:rsid w:val="003B5C4F"/>
    <w:rsid w:val="003B5E14"/>
    <w:rsid w:val="003B76B3"/>
    <w:rsid w:val="003B7F77"/>
    <w:rsid w:val="003C309D"/>
    <w:rsid w:val="003C397B"/>
    <w:rsid w:val="003C3996"/>
    <w:rsid w:val="003C3DB8"/>
    <w:rsid w:val="003C4E00"/>
    <w:rsid w:val="003D1CC5"/>
    <w:rsid w:val="003D4B1B"/>
    <w:rsid w:val="003D50F3"/>
    <w:rsid w:val="003D54E9"/>
    <w:rsid w:val="003D657D"/>
    <w:rsid w:val="003E1AFF"/>
    <w:rsid w:val="003E313C"/>
    <w:rsid w:val="003E3DD1"/>
    <w:rsid w:val="003E5A97"/>
    <w:rsid w:val="003E5E6B"/>
    <w:rsid w:val="003E6413"/>
    <w:rsid w:val="003E6B7D"/>
    <w:rsid w:val="003E73F8"/>
    <w:rsid w:val="003F0D6E"/>
    <w:rsid w:val="003F1C93"/>
    <w:rsid w:val="003F269F"/>
    <w:rsid w:val="003F27DA"/>
    <w:rsid w:val="003F78D5"/>
    <w:rsid w:val="003F7C23"/>
    <w:rsid w:val="003F7F1A"/>
    <w:rsid w:val="004050F3"/>
    <w:rsid w:val="00405182"/>
    <w:rsid w:val="004068A2"/>
    <w:rsid w:val="00410F90"/>
    <w:rsid w:val="00411588"/>
    <w:rsid w:val="004120C2"/>
    <w:rsid w:val="00412277"/>
    <w:rsid w:val="00413171"/>
    <w:rsid w:val="00415C8F"/>
    <w:rsid w:val="00416E51"/>
    <w:rsid w:val="00417D01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2069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590A"/>
    <w:rsid w:val="004A6771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8DB"/>
    <w:rsid w:val="004D3529"/>
    <w:rsid w:val="004D4371"/>
    <w:rsid w:val="004D4A27"/>
    <w:rsid w:val="004D4FB6"/>
    <w:rsid w:val="004D64E8"/>
    <w:rsid w:val="004E0EFC"/>
    <w:rsid w:val="004E2391"/>
    <w:rsid w:val="004E4F82"/>
    <w:rsid w:val="004E5A29"/>
    <w:rsid w:val="004E635A"/>
    <w:rsid w:val="004E6A3F"/>
    <w:rsid w:val="004E7314"/>
    <w:rsid w:val="004F108A"/>
    <w:rsid w:val="004F39CD"/>
    <w:rsid w:val="004F56BF"/>
    <w:rsid w:val="004F5AAA"/>
    <w:rsid w:val="004F5DAA"/>
    <w:rsid w:val="00501804"/>
    <w:rsid w:val="00502EAF"/>
    <w:rsid w:val="005066E4"/>
    <w:rsid w:val="00506C90"/>
    <w:rsid w:val="00506E3A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8049B"/>
    <w:rsid w:val="00580B1C"/>
    <w:rsid w:val="00581C63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87B2F"/>
    <w:rsid w:val="0059038E"/>
    <w:rsid w:val="005904AA"/>
    <w:rsid w:val="00591136"/>
    <w:rsid w:val="00592AB5"/>
    <w:rsid w:val="00593162"/>
    <w:rsid w:val="005931EE"/>
    <w:rsid w:val="0059328B"/>
    <w:rsid w:val="005933D8"/>
    <w:rsid w:val="0059551D"/>
    <w:rsid w:val="00595FAF"/>
    <w:rsid w:val="005A0B1B"/>
    <w:rsid w:val="005A0BB8"/>
    <w:rsid w:val="005A14B5"/>
    <w:rsid w:val="005A4256"/>
    <w:rsid w:val="005A4F39"/>
    <w:rsid w:val="005A5D91"/>
    <w:rsid w:val="005A6788"/>
    <w:rsid w:val="005B0CA1"/>
    <w:rsid w:val="005B128F"/>
    <w:rsid w:val="005B1616"/>
    <w:rsid w:val="005B1884"/>
    <w:rsid w:val="005B19D3"/>
    <w:rsid w:val="005B2B04"/>
    <w:rsid w:val="005B4890"/>
    <w:rsid w:val="005B583B"/>
    <w:rsid w:val="005B7DEF"/>
    <w:rsid w:val="005C199D"/>
    <w:rsid w:val="005C2998"/>
    <w:rsid w:val="005C2A31"/>
    <w:rsid w:val="005C3410"/>
    <w:rsid w:val="005C3649"/>
    <w:rsid w:val="005C5999"/>
    <w:rsid w:val="005C5B45"/>
    <w:rsid w:val="005C7794"/>
    <w:rsid w:val="005D0BD0"/>
    <w:rsid w:val="005D2253"/>
    <w:rsid w:val="005D2EC5"/>
    <w:rsid w:val="005D569C"/>
    <w:rsid w:val="005D6270"/>
    <w:rsid w:val="005E026C"/>
    <w:rsid w:val="005E1635"/>
    <w:rsid w:val="005E2226"/>
    <w:rsid w:val="005E2256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484"/>
    <w:rsid w:val="005F6AA8"/>
    <w:rsid w:val="00600620"/>
    <w:rsid w:val="00601735"/>
    <w:rsid w:val="00601752"/>
    <w:rsid w:val="00601C10"/>
    <w:rsid w:val="006039A0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1015C"/>
    <w:rsid w:val="0061043C"/>
    <w:rsid w:val="0061185F"/>
    <w:rsid w:val="006123FC"/>
    <w:rsid w:val="00612AC5"/>
    <w:rsid w:val="00612F9C"/>
    <w:rsid w:val="00613B7E"/>
    <w:rsid w:val="00613E83"/>
    <w:rsid w:val="00617482"/>
    <w:rsid w:val="0062087F"/>
    <w:rsid w:val="00621CB1"/>
    <w:rsid w:val="00621E04"/>
    <w:rsid w:val="006232A7"/>
    <w:rsid w:val="00624AD8"/>
    <w:rsid w:val="00625BA6"/>
    <w:rsid w:val="006267A7"/>
    <w:rsid w:val="00634312"/>
    <w:rsid w:val="00635143"/>
    <w:rsid w:val="0063567E"/>
    <w:rsid w:val="006375ED"/>
    <w:rsid w:val="00637F40"/>
    <w:rsid w:val="006400AA"/>
    <w:rsid w:val="006404C1"/>
    <w:rsid w:val="006423A6"/>
    <w:rsid w:val="006423A7"/>
    <w:rsid w:val="00642DD3"/>
    <w:rsid w:val="00643694"/>
    <w:rsid w:val="006447C7"/>
    <w:rsid w:val="00645A8D"/>
    <w:rsid w:val="006500AF"/>
    <w:rsid w:val="00650F56"/>
    <w:rsid w:val="006515A5"/>
    <w:rsid w:val="00651FB4"/>
    <w:rsid w:val="00652207"/>
    <w:rsid w:val="00652F03"/>
    <w:rsid w:val="006579CB"/>
    <w:rsid w:val="00660EE8"/>
    <w:rsid w:val="006614E7"/>
    <w:rsid w:val="00661D3A"/>
    <w:rsid w:val="00662DBC"/>
    <w:rsid w:val="00663583"/>
    <w:rsid w:val="00663861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48F8"/>
    <w:rsid w:val="006950CC"/>
    <w:rsid w:val="00695A95"/>
    <w:rsid w:val="00695DB7"/>
    <w:rsid w:val="00696FE0"/>
    <w:rsid w:val="006A3E3E"/>
    <w:rsid w:val="006A4F62"/>
    <w:rsid w:val="006A631B"/>
    <w:rsid w:val="006A658D"/>
    <w:rsid w:val="006A6DBB"/>
    <w:rsid w:val="006A7929"/>
    <w:rsid w:val="006B229C"/>
    <w:rsid w:val="006B2557"/>
    <w:rsid w:val="006B2E29"/>
    <w:rsid w:val="006B407E"/>
    <w:rsid w:val="006B78FE"/>
    <w:rsid w:val="006C0D89"/>
    <w:rsid w:val="006C21ED"/>
    <w:rsid w:val="006C223D"/>
    <w:rsid w:val="006C2E06"/>
    <w:rsid w:val="006C4D5E"/>
    <w:rsid w:val="006C5A74"/>
    <w:rsid w:val="006C6126"/>
    <w:rsid w:val="006D0E00"/>
    <w:rsid w:val="006D1B43"/>
    <w:rsid w:val="006D28F1"/>
    <w:rsid w:val="006D3A16"/>
    <w:rsid w:val="006D3E71"/>
    <w:rsid w:val="006D4523"/>
    <w:rsid w:val="006D47F6"/>
    <w:rsid w:val="006D56C0"/>
    <w:rsid w:val="006D5CBE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7195"/>
    <w:rsid w:val="006F18A2"/>
    <w:rsid w:val="006F2DC2"/>
    <w:rsid w:val="006F5246"/>
    <w:rsid w:val="006F58D1"/>
    <w:rsid w:val="006F72AA"/>
    <w:rsid w:val="006F741B"/>
    <w:rsid w:val="006F7E50"/>
    <w:rsid w:val="007002DF"/>
    <w:rsid w:val="00700605"/>
    <w:rsid w:val="00703126"/>
    <w:rsid w:val="007038E5"/>
    <w:rsid w:val="0070425B"/>
    <w:rsid w:val="00704651"/>
    <w:rsid w:val="00706D36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E60"/>
    <w:rsid w:val="00717AA9"/>
    <w:rsid w:val="0072018C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41479"/>
    <w:rsid w:val="007419E0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9CB"/>
    <w:rsid w:val="00780969"/>
    <w:rsid w:val="00782808"/>
    <w:rsid w:val="007829FB"/>
    <w:rsid w:val="00782D6B"/>
    <w:rsid w:val="0079048B"/>
    <w:rsid w:val="00791A35"/>
    <w:rsid w:val="00791B96"/>
    <w:rsid w:val="007921CB"/>
    <w:rsid w:val="0079361A"/>
    <w:rsid w:val="00793A27"/>
    <w:rsid w:val="00793B3C"/>
    <w:rsid w:val="00793B91"/>
    <w:rsid w:val="00794B55"/>
    <w:rsid w:val="007A3471"/>
    <w:rsid w:val="007A359E"/>
    <w:rsid w:val="007A3E6D"/>
    <w:rsid w:val="007A6F01"/>
    <w:rsid w:val="007A73DF"/>
    <w:rsid w:val="007B12E5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E7A"/>
    <w:rsid w:val="007C62E6"/>
    <w:rsid w:val="007C7134"/>
    <w:rsid w:val="007C721C"/>
    <w:rsid w:val="007C7643"/>
    <w:rsid w:val="007D0A3D"/>
    <w:rsid w:val="007D13FB"/>
    <w:rsid w:val="007D18FE"/>
    <w:rsid w:val="007D292B"/>
    <w:rsid w:val="007D2D3C"/>
    <w:rsid w:val="007D4809"/>
    <w:rsid w:val="007D53B2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8004BD"/>
    <w:rsid w:val="00801363"/>
    <w:rsid w:val="00801507"/>
    <w:rsid w:val="00802254"/>
    <w:rsid w:val="00802B50"/>
    <w:rsid w:val="00803CB4"/>
    <w:rsid w:val="00805222"/>
    <w:rsid w:val="00805D4F"/>
    <w:rsid w:val="00806FA3"/>
    <w:rsid w:val="008112CA"/>
    <w:rsid w:val="00812025"/>
    <w:rsid w:val="00814836"/>
    <w:rsid w:val="00816B67"/>
    <w:rsid w:val="00816CC2"/>
    <w:rsid w:val="00817358"/>
    <w:rsid w:val="00817ADE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55F"/>
    <w:rsid w:val="00831C4E"/>
    <w:rsid w:val="00832F87"/>
    <w:rsid w:val="00833402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12A2"/>
    <w:rsid w:val="00851AB6"/>
    <w:rsid w:val="00852023"/>
    <w:rsid w:val="00852A58"/>
    <w:rsid w:val="00854A4C"/>
    <w:rsid w:val="00854A80"/>
    <w:rsid w:val="00856D52"/>
    <w:rsid w:val="008576F4"/>
    <w:rsid w:val="0086081D"/>
    <w:rsid w:val="0086094F"/>
    <w:rsid w:val="00860C07"/>
    <w:rsid w:val="00861249"/>
    <w:rsid w:val="0086160F"/>
    <w:rsid w:val="00863355"/>
    <w:rsid w:val="0086590B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5C10"/>
    <w:rsid w:val="0088635D"/>
    <w:rsid w:val="0088728F"/>
    <w:rsid w:val="00887896"/>
    <w:rsid w:val="008906AC"/>
    <w:rsid w:val="008933B2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5DB7"/>
    <w:rsid w:val="008F66DF"/>
    <w:rsid w:val="008F75AB"/>
    <w:rsid w:val="009000FC"/>
    <w:rsid w:val="00900829"/>
    <w:rsid w:val="009015AE"/>
    <w:rsid w:val="00901F6D"/>
    <w:rsid w:val="00902A5C"/>
    <w:rsid w:val="00902EED"/>
    <w:rsid w:val="009042AF"/>
    <w:rsid w:val="00906E2C"/>
    <w:rsid w:val="00907AC7"/>
    <w:rsid w:val="0091122B"/>
    <w:rsid w:val="0091536D"/>
    <w:rsid w:val="00915C31"/>
    <w:rsid w:val="0091666A"/>
    <w:rsid w:val="00916A1E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255"/>
    <w:rsid w:val="00930342"/>
    <w:rsid w:val="0093200A"/>
    <w:rsid w:val="009326F8"/>
    <w:rsid w:val="00932E20"/>
    <w:rsid w:val="009350DF"/>
    <w:rsid w:val="00935DB0"/>
    <w:rsid w:val="00936976"/>
    <w:rsid w:val="00936A35"/>
    <w:rsid w:val="00940BCE"/>
    <w:rsid w:val="009420D6"/>
    <w:rsid w:val="00943996"/>
    <w:rsid w:val="00945068"/>
    <w:rsid w:val="00945655"/>
    <w:rsid w:val="00947447"/>
    <w:rsid w:val="009506E0"/>
    <w:rsid w:val="009519B5"/>
    <w:rsid w:val="00953B1C"/>
    <w:rsid w:val="00955989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DDE"/>
    <w:rsid w:val="00964EBE"/>
    <w:rsid w:val="00965276"/>
    <w:rsid w:val="00965769"/>
    <w:rsid w:val="00965D7C"/>
    <w:rsid w:val="009669DD"/>
    <w:rsid w:val="00967C4F"/>
    <w:rsid w:val="00967C8A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D72"/>
    <w:rsid w:val="00981F78"/>
    <w:rsid w:val="0098209C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4B11"/>
    <w:rsid w:val="009A4B9D"/>
    <w:rsid w:val="009A556B"/>
    <w:rsid w:val="009A702F"/>
    <w:rsid w:val="009A73E2"/>
    <w:rsid w:val="009A7AB7"/>
    <w:rsid w:val="009A7D46"/>
    <w:rsid w:val="009B43C9"/>
    <w:rsid w:val="009B48D8"/>
    <w:rsid w:val="009B58AB"/>
    <w:rsid w:val="009B5E09"/>
    <w:rsid w:val="009B767B"/>
    <w:rsid w:val="009C0CA4"/>
    <w:rsid w:val="009C1424"/>
    <w:rsid w:val="009C1EB1"/>
    <w:rsid w:val="009C3427"/>
    <w:rsid w:val="009C424B"/>
    <w:rsid w:val="009C593A"/>
    <w:rsid w:val="009C5E2B"/>
    <w:rsid w:val="009C62B6"/>
    <w:rsid w:val="009D0224"/>
    <w:rsid w:val="009D02AC"/>
    <w:rsid w:val="009D0F55"/>
    <w:rsid w:val="009D1523"/>
    <w:rsid w:val="009D7203"/>
    <w:rsid w:val="009E0442"/>
    <w:rsid w:val="009E259C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10204"/>
    <w:rsid w:val="00A10236"/>
    <w:rsid w:val="00A10260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3241"/>
    <w:rsid w:val="00A240D7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449F"/>
    <w:rsid w:val="00A444C2"/>
    <w:rsid w:val="00A45A33"/>
    <w:rsid w:val="00A467E9"/>
    <w:rsid w:val="00A4690B"/>
    <w:rsid w:val="00A46D0D"/>
    <w:rsid w:val="00A478EB"/>
    <w:rsid w:val="00A51221"/>
    <w:rsid w:val="00A54789"/>
    <w:rsid w:val="00A555DA"/>
    <w:rsid w:val="00A567AD"/>
    <w:rsid w:val="00A57E4B"/>
    <w:rsid w:val="00A60C41"/>
    <w:rsid w:val="00A60DA2"/>
    <w:rsid w:val="00A6106D"/>
    <w:rsid w:val="00A63265"/>
    <w:rsid w:val="00A644DA"/>
    <w:rsid w:val="00A65381"/>
    <w:rsid w:val="00A656BF"/>
    <w:rsid w:val="00A6690C"/>
    <w:rsid w:val="00A67341"/>
    <w:rsid w:val="00A71A17"/>
    <w:rsid w:val="00A720CE"/>
    <w:rsid w:val="00A729A6"/>
    <w:rsid w:val="00A72F5D"/>
    <w:rsid w:val="00A73879"/>
    <w:rsid w:val="00A73A70"/>
    <w:rsid w:val="00A7464B"/>
    <w:rsid w:val="00A77661"/>
    <w:rsid w:val="00A80B81"/>
    <w:rsid w:val="00A82705"/>
    <w:rsid w:val="00A82A27"/>
    <w:rsid w:val="00A84C12"/>
    <w:rsid w:val="00A85302"/>
    <w:rsid w:val="00A879AE"/>
    <w:rsid w:val="00A914A7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B02D0"/>
    <w:rsid w:val="00AB0D67"/>
    <w:rsid w:val="00AB1284"/>
    <w:rsid w:val="00AB2C2F"/>
    <w:rsid w:val="00AB324E"/>
    <w:rsid w:val="00AB327B"/>
    <w:rsid w:val="00AB3E4B"/>
    <w:rsid w:val="00AB4D2B"/>
    <w:rsid w:val="00AB4F25"/>
    <w:rsid w:val="00AB686B"/>
    <w:rsid w:val="00AC18A4"/>
    <w:rsid w:val="00AC1C17"/>
    <w:rsid w:val="00AC2CEF"/>
    <w:rsid w:val="00AC61A9"/>
    <w:rsid w:val="00AC66B8"/>
    <w:rsid w:val="00AC6DB9"/>
    <w:rsid w:val="00AC7CAB"/>
    <w:rsid w:val="00AD0A5E"/>
    <w:rsid w:val="00AD2788"/>
    <w:rsid w:val="00AD2D1D"/>
    <w:rsid w:val="00AD2D53"/>
    <w:rsid w:val="00AD5838"/>
    <w:rsid w:val="00AD5B6F"/>
    <w:rsid w:val="00AD768F"/>
    <w:rsid w:val="00AE1807"/>
    <w:rsid w:val="00AE27F3"/>
    <w:rsid w:val="00AE45A4"/>
    <w:rsid w:val="00AE47E8"/>
    <w:rsid w:val="00AE6CD3"/>
    <w:rsid w:val="00AF0148"/>
    <w:rsid w:val="00AF0EF7"/>
    <w:rsid w:val="00AF3D03"/>
    <w:rsid w:val="00AF4FB2"/>
    <w:rsid w:val="00AF507B"/>
    <w:rsid w:val="00AF5227"/>
    <w:rsid w:val="00AF5695"/>
    <w:rsid w:val="00B00328"/>
    <w:rsid w:val="00B013A1"/>
    <w:rsid w:val="00B01587"/>
    <w:rsid w:val="00B01D94"/>
    <w:rsid w:val="00B02746"/>
    <w:rsid w:val="00B0307A"/>
    <w:rsid w:val="00B04C0B"/>
    <w:rsid w:val="00B06ED2"/>
    <w:rsid w:val="00B10EAD"/>
    <w:rsid w:val="00B12F46"/>
    <w:rsid w:val="00B13434"/>
    <w:rsid w:val="00B15BD7"/>
    <w:rsid w:val="00B173E3"/>
    <w:rsid w:val="00B213BD"/>
    <w:rsid w:val="00B21D41"/>
    <w:rsid w:val="00B23302"/>
    <w:rsid w:val="00B23AFB"/>
    <w:rsid w:val="00B25E63"/>
    <w:rsid w:val="00B261BA"/>
    <w:rsid w:val="00B261D9"/>
    <w:rsid w:val="00B26824"/>
    <w:rsid w:val="00B26D80"/>
    <w:rsid w:val="00B26E1B"/>
    <w:rsid w:val="00B27E4B"/>
    <w:rsid w:val="00B3056B"/>
    <w:rsid w:val="00B314C9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8AA"/>
    <w:rsid w:val="00B4543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456D"/>
    <w:rsid w:val="00B66E87"/>
    <w:rsid w:val="00B7296F"/>
    <w:rsid w:val="00B72989"/>
    <w:rsid w:val="00B747A8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3592"/>
    <w:rsid w:val="00B935CE"/>
    <w:rsid w:val="00B940B5"/>
    <w:rsid w:val="00B96505"/>
    <w:rsid w:val="00B96819"/>
    <w:rsid w:val="00B96FC8"/>
    <w:rsid w:val="00BA0475"/>
    <w:rsid w:val="00BA08CD"/>
    <w:rsid w:val="00BA0C3C"/>
    <w:rsid w:val="00BA4997"/>
    <w:rsid w:val="00BA5AA3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245D"/>
    <w:rsid w:val="00BC2B12"/>
    <w:rsid w:val="00BC5ABD"/>
    <w:rsid w:val="00BD0D44"/>
    <w:rsid w:val="00BD3746"/>
    <w:rsid w:val="00BD40F5"/>
    <w:rsid w:val="00BD70C4"/>
    <w:rsid w:val="00BE0B8C"/>
    <w:rsid w:val="00BE18BD"/>
    <w:rsid w:val="00BE22BB"/>
    <w:rsid w:val="00BE2684"/>
    <w:rsid w:val="00BE3607"/>
    <w:rsid w:val="00BE3756"/>
    <w:rsid w:val="00BE4FE0"/>
    <w:rsid w:val="00BE64C8"/>
    <w:rsid w:val="00BE7AA1"/>
    <w:rsid w:val="00BE7E1A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5B89"/>
    <w:rsid w:val="00C0746C"/>
    <w:rsid w:val="00C11419"/>
    <w:rsid w:val="00C122D6"/>
    <w:rsid w:val="00C12BF7"/>
    <w:rsid w:val="00C13A3E"/>
    <w:rsid w:val="00C15DAE"/>
    <w:rsid w:val="00C16514"/>
    <w:rsid w:val="00C17342"/>
    <w:rsid w:val="00C21E45"/>
    <w:rsid w:val="00C226D4"/>
    <w:rsid w:val="00C229E2"/>
    <w:rsid w:val="00C23002"/>
    <w:rsid w:val="00C23BF2"/>
    <w:rsid w:val="00C255F4"/>
    <w:rsid w:val="00C2568A"/>
    <w:rsid w:val="00C25B06"/>
    <w:rsid w:val="00C25FED"/>
    <w:rsid w:val="00C26C74"/>
    <w:rsid w:val="00C270EB"/>
    <w:rsid w:val="00C272B3"/>
    <w:rsid w:val="00C306C4"/>
    <w:rsid w:val="00C30B5F"/>
    <w:rsid w:val="00C30EFA"/>
    <w:rsid w:val="00C31F27"/>
    <w:rsid w:val="00C33A0B"/>
    <w:rsid w:val="00C36B76"/>
    <w:rsid w:val="00C40353"/>
    <w:rsid w:val="00C40DF7"/>
    <w:rsid w:val="00C42B03"/>
    <w:rsid w:val="00C4348B"/>
    <w:rsid w:val="00C43F57"/>
    <w:rsid w:val="00C4546D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993"/>
    <w:rsid w:val="00C61798"/>
    <w:rsid w:val="00C622FB"/>
    <w:rsid w:val="00C6232A"/>
    <w:rsid w:val="00C642B2"/>
    <w:rsid w:val="00C64A9D"/>
    <w:rsid w:val="00C67BE9"/>
    <w:rsid w:val="00C71751"/>
    <w:rsid w:val="00C72ADF"/>
    <w:rsid w:val="00C734EA"/>
    <w:rsid w:val="00C746F3"/>
    <w:rsid w:val="00C749B4"/>
    <w:rsid w:val="00C760BA"/>
    <w:rsid w:val="00C764EE"/>
    <w:rsid w:val="00C776A3"/>
    <w:rsid w:val="00C80256"/>
    <w:rsid w:val="00C80635"/>
    <w:rsid w:val="00C81261"/>
    <w:rsid w:val="00C8290A"/>
    <w:rsid w:val="00C840F2"/>
    <w:rsid w:val="00C84DB7"/>
    <w:rsid w:val="00C85A70"/>
    <w:rsid w:val="00C9222D"/>
    <w:rsid w:val="00C94806"/>
    <w:rsid w:val="00C95356"/>
    <w:rsid w:val="00C9673E"/>
    <w:rsid w:val="00C9683E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6FA"/>
    <w:rsid w:val="00CC21CC"/>
    <w:rsid w:val="00CC2F52"/>
    <w:rsid w:val="00CC63BA"/>
    <w:rsid w:val="00CC761D"/>
    <w:rsid w:val="00CC78BC"/>
    <w:rsid w:val="00CD0D4A"/>
    <w:rsid w:val="00CD1040"/>
    <w:rsid w:val="00CD2A64"/>
    <w:rsid w:val="00CD2EEB"/>
    <w:rsid w:val="00CD339B"/>
    <w:rsid w:val="00CD4096"/>
    <w:rsid w:val="00CD52E3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5231"/>
    <w:rsid w:val="00D063C5"/>
    <w:rsid w:val="00D06584"/>
    <w:rsid w:val="00D07D17"/>
    <w:rsid w:val="00D10C0A"/>
    <w:rsid w:val="00D10E17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D8"/>
    <w:rsid w:val="00D3652C"/>
    <w:rsid w:val="00D3761D"/>
    <w:rsid w:val="00D414E2"/>
    <w:rsid w:val="00D41ADD"/>
    <w:rsid w:val="00D42E46"/>
    <w:rsid w:val="00D4344F"/>
    <w:rsid w:val="00D434A2"/>
    <w:rsid w:val="00D4377F"/>
    <w:rsid w:val="00D43982"/>
    <w:rsid w:val="00D44551"/>
    <w:rsid w:val="00D457F1"/>
    <w:rsid w:val="00D45BD0"/>
    <w:rsid w:val="00D4682B"/>
    <w:rsid w:val="00D476CB"/>
    <w:rsid w:val="00D47A7D"/>
    <w:rsid w:val="00D51174"/>
    <w:rsid w:val="00D518DE"/>
    <w:rsid w:val="00D51AA2"/>
    <w:rsid w:val="00D53B92"/>
    <w:rsid w:val="00D54047"/>
    <w:rsid w:val="00D54D47"/>
    <w:rsid w:val="00D575A2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706E6"/>
    <w:rsid w:val="00D74318"/>
    <w:rsid w:val="00D76541"/>
    <w:rsid w:val="00D76699"/>
    <w:rsid w:val="00D76C5F"/>
    <w:rsid w:val="00D773D0"/>
    <w:rsid w:val="00D8498D"/>
    <w:rsid w:val="00D87B43"/>
    <w:rsid w:val="00D90138"/>
    <w:rsid w:val="00D90FAD"/>
    <w:rsid w:val="00D9229D"/>
    <w:rsid w:val="00D93FC5"/>
    <w:rsid w:val="00D953A0"/>
    <w:rsid w:val="00D966F2"/>
    <w:rsid w:val="00DA019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341F"/>
    <w:rsid w:val="00DC4B40"/>
    <w:rsid w:val="00DC5E87"/>
    <w:rsid w:val="00DC5F42"/>
    <w:rsid w:val="00DC6F0B"/>
    <w:rsid w:val="00DC7833"/>
    <w:rsid w:val="00DC7E88"/>
    <w:rsid w:val="00DD22D1"/>
    <w:rsid w:val="00DD277C"/>
    <w:rsid w:val="00DD5660"/>
    <w:rsid w:val="00DD5C74"/>
    <w:rsid w:val="00DD6A96"/>
    <w:rsid w:val="00DE17F9"/>
    <w:rsid w:val="00DE1891"/>
    <w:rsid w:val="00DE4116"/>
    <w:rsid w:val="00DE4C17"/>
    <w:rsid w:val="00DE4C5C"/>
    <w:rsid w:val="00DE5B29"/>
    <w:rsid w:val="00DE782D"/>
    <w:rsid w:val="00DE7F35"/>
    <w:rsid w:val="00DF303E"/>
    <w:rsid w:val="00DF44C0"/>
    <w:rsid w:val="00DF5053"/>
    <w:rsid w:val="00DF5FD4"/>
    <w:rsid w:val="00E01898"/>
    <w:rsid w:val="00E02337"/>
    <w:rsid w:val="00E025AD"/>
    <w:rsid w:val="00E03CF7"/>
    <w:rsid w:val="00E03EDD"/>
    <w:rsid w:val="00E04A0A"/>
    <w:rsid w:val="00E04AC2"/>
    <w:rsid w:val="00E068D8"/>
    <w:rsid w:val="00E07235"/>
    <w:rsid w:val="00E07371"/>
    <w:rsid w:val="00E07D0A"/>
    <w:rsid w:val="00E10DF2"/>
    <w:rsid w:val="00E1139C"/>
    <w:rsid w:val="00E1266E"/>
    <w:rsid w:val="00E12EEB"/>
    <w:rsid w:val="00E15A62"/>
    <w:rsid w:val="00E176D8"/>
    <w:rsid w:val="00E21925"/>
    <w:rsid w:val="00E25A55"/>
    <w:rsid w:val="00E25E94"/>
    <w:rsid w:val="00E270D8"/>
    <w:rsid w:val="00E27475"/>
    <w:rsid w:val="00E27553"/>
    <w:rsid w:val="00E275A3"/>
    <w:rsid w:val="00E30042"/>
    <w:rsid w:val="00E30CA8"/>
    <w:rsid w:val="00E32E1D"/>
    <w:rsid w:val="00E33EC7"/>
    <w:rsid w:val="00E34691"/>
    <w:rsid w:val="00E35263"/>
    <w:rsid w:val="00E36F69"/>
    <w:rsid w:val="00E37FAA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79E8"/>
    <w:rsid w:val="00E508F5"/>
    <w:rsid w:val="00E520AE"/>
    <w:rsid w:val="00E52585"/>
    <w:rsid w:val="00E563FB"/>
    <w:rsid w:val="00E56705"/>
    <w:rsid w:val="00E57467"/>
    <w:rsid w:val="00E57AAD"/>
    <w:rsid w:val="00E57BF2"/>
    <w:rsid w:val="00E61319"/>
    <w:rsid w:val="00E61633"/>
    <w:rsid w:val="00E62899"/>
    <w:rsid w:val="00E62BCB"/>
    <w:rsid w:val="00E63528"/>
    <w:rsid w:val="00E64C6E"/>
    <w:rsid w:val="00E6557C"/>
    <w:rsid w:val="00E67F8F"/>
    <w:rsid w:val="00E70ACD"/>
    <w:rsid w:val="00E70C0A"/>
    <w:rsid w:val="00E72398"/>
    <w:rsid w:val="00E728E6"/>
    <w:rsid w:val="00E72B9E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7E35"/>
    <w:rsid w:val="00EA3843"/>
    <w:rsid w:val="00EA3EAF"/>
    <w:rsid w:val="00EA4B88"/>
    <w:rsid w:val="00EA4FC1"/>
    <w:rsid w:val="00EA61C8"/>
    <w:rsid w:val="00EB027C"/>
    <w:rsid w:val="00EB0468"/>
    <w:rsid w:val="00EC0600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38CB"/>
    <w:rsid w:val="00EE4C2D"/>
    <w:rsid w:val="00EF13A4"/>
    <w:rsid w:val="00EF2675"/>
    <w:rsid w:val="00EF2B61"/>
    <w:rsid w:val="00EF2D9A"/>
    <w:rsid w:val="00EF35C3"/>
    <w:rsid w:val="00EF4625"/>
    <w:rsid w:val="00EF4B04"/>
    <w:rsid w:val="00EF5AE1"/>
    <w:rsid w:val="00EF6382"/>
    <w:rsid w:val="00EF7DEB"/>
    <w:rsid w:val="00F0163B"/>
    <w:rsid w:val="00F0333A"/>
    <w:rsid w:val="00F03D08"/>
    <w:rsid w:val="00F042CB"/>
    <w:rsid w:val="00F04FB3"/>
    <w:rsid w:val="00F06565"/>
    <w:rsid w:val="00F143DC"/>
    <w:rsid w:val="00F14699"/>
    <w:rsid w:val="00F14A11"/>
    <w:rsid w:val="00F14F16"/>
    <w:rsid w:val="00F15092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600D"/>
    <w:rsid w:val="00F279A1"/>
    <w:rsid w:val="00F30576"/>
    <w:rsid w:val="00F30C70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338D"/>
    <w:rsid w:val="00F445E4"/>
    <w:rsid w:val="00F46056"/>
    <w:rsid w:val="00F47447"/>
    <w:rsid w:val="00F507D4"/>
    <w:rsid w:val="00F51B3D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23C3"/>
    <w:rsid w:val="00F7313E"/>
    <w:rsid w:val="00F73ADF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871DC"/>
    <w:rsid w:val="00F93658"/>
    <w:rsid w:val="00F9439E"/>
    <w:rsid w:val="00FA013B"/>
    <w:rsid w:val="00FA0DA5"/>
    <w:rsid w:val="00FA11B9"/>
    <w:rsid w:val="00FA2A2A"/>
    <w:rsid w:val="00FA2B09"/>
    <w:rsid w:val="00FA2DA2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43D0"/>
    <w:rsid w:val="00FC59B5"/>
    <w:rsid w:val="00FC608A"/>
    <w:rsid w:val="00FC6EEC"/>
    <w:rsid w:val="00FC765B"/>
    <w:rsid w:val="00FC7B11"/>
    <w:rsid w:val="00FD02E5"/>
    <w:rsid w:val="00FD1405"/>
    <w:rsid w:val="00FD307A"/>
    <w:rsid w:val="00FD41A4"/>
    <w:rsid w:val="00FD5019"/>
    <w:rsid w:val="00FD530F"/>
    <w:rsid w:val="00FD6E8A"/>
    <w:rsid w:val="00FE02DD"/>
    <w:rsid w:val="00FE0784"/>
    <w:rsid w:val="00FE2892"/>
    <w:rsid w:val="00FE48FC"/>
    <w:rsid w:val="00FE5F59"/>
    <w:rsid w:val="00FE7B41"/>
    <w:rsid w:val="00FE7CF5"/>
    <w:rsid w:val="00FF0112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E5140"/>
  <w15:docId w15:val="{C83824A7-EC3C-47DA-B359-7D0B35F8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6C"/>
  </w:style>
  <w:style w:type="paragraph" w:styleId="Heading1">
    <w:name w:val="heading 1"/>
    <w:basedOn w:val="Normal"/>
    <w:next w:val="Normal"/>
    <w:link w:val="Heading1Char"/>
    <w:uiPriority w:val="9"/>
    <w:qFormat/>
    <w:rsid w:val="00A44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49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05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50B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05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E731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D1B43"/>
  </w:style>
  <w:style w:type="table" w:styleId="TableGrid">
    <w:name w:val="Table Grid"/>
    <w:basedOn w:val="TableNormal"/>
    <w:uiPriority w:val="59"/>
    <w:rsid w:val="00902A5C"/>
    <w:pPr>
      <w:spacing w:after="0"/>
    </w:pPr>
    <w:rPr>
      <w:rFonts w:eastAsiaTheme="minorEastAsia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444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paragraph" w:customStyle="1" w:styleId="AJMBNK-Heading1">
    <w:name w:val="AJMBNK-Heading 1"/>
    <w:basedOn w:val="Heading1"/>
    <w:autoRedefine/>
    <w:qFormat/>
    <w:rsid w:val="00A4449F"/>
    <w:pPr>
      <w:keepLines w:val="0"/>
      <w:numPr>
        <w:numId w:val="19"/>
      </w:numPr>
      <w:tabs>
        <w:tab w:val="left" w:pos="1134"/>
      </w:tabs>
      <w:spacing w:before="240" w:after="60" w:line="360" w:lineRule="auto"/>
      <w:ind w:right="113"/>
    </w:pPr>
    <w:rPr>
      <w:rFonts w:ascii="Tahoma" w:eastAsia="Times New Roman" w:hAnsi="Tahoma" w:cs="Tahoma"/>
      <w:smallCaps/>
      <w:color w:val="000080"/>
      <w:spacing w:val="20"/>
      <w:kern w:val="32"/>
      <w:lang w:val="en-GB" w:eastAsia="en-IN"/>
    </w:rPr>
  </w:style>
  <w:style w:type="paragraph" w:customStyle="1" w:styleId="AJMBNK-Heading2">
    <w:name w:val="AJMBNK- Heading2"/>
    <w:basedOn w:val="Normal"/>
    <w:autoRedefine/>
    <w:qFormat/>
    <w:rsid w:val="00A4449F"/>
    <w:pPr>
      <w:numPr>
        <w:ilvl w:val="1"/>
        <w:numId w:val="19"/>
      </w:numPr>
      <w:tabs>
        <w:tab w:val="left" w:pos="567"/>
      </w:tabs>
      <w:spacing w:line="276" w:lineRule="auto"/>
      <w:ind w:left="720" w:hanging="426"/>
    </w:pPr>
    <w:rPr>
      <w:rFonts w:eastAsia="Calibri" w:cs="Arial"/>
      <w:b/>
      <w:lang w:val="en-GB" w:eastAsia="en-IN"/>
    </w:rPr>
  </w:style>
  <w:style w:type="paragraph" w:customStyle="1" w:styleId="H3-AJMBNK">
    <w:name w:val="H3-AJMBNK"/>
    <w:basedOn w:val="Normal"/>
    <w:qFormat/>
    <w:rsid w:val="00A4449F"/>
    <w:pPr>
      <w:numPr>
        <w:ilvl w:val="2"/>
        <w:numId w:val="19"/>
      </w:numPr>
      <w:spacing w:line="276" w:lineRule="auto"/>
    </w:pPr>
    <w:rPr>
      <w:rFonts w:ascii="Century Gothic" w:eastAsia="Calibri" w:hAnsi="Century Gothic" w:cs="Times New Roman"/>
      <w:szCs w:val="20"/>
      <w:lang w:val="en-GB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A44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37C7C-2D3D-42F4-93B6-1F53D3F5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Marwan Siddiq</cp:lastModifiedBy>
  <cp:revision>10</cp:revision>
  <dcterms:created xsi:type="dcterms:W3CDTF">2021-11-04T08:41:00Z</dcterms:created>
  <dcterms:modified xsi:type="dcterms:W3CDTF">2025-09-08T07:20:00Z</dcterms:modified>
</cp:coreProperties>
</file>