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14F668C1" w14:textId="77777777" w:rsidTr="00980C86">
        <w:tc>
          <w:tcPr>
            <w:tcW w:w="1980" w:type="dxa"/>
          </w:tcPr>
          <w:p w14:paraId="45E50DF8" w14:textId="77777777" w:rsidR="003050B7" w:rsidRPr="00980C86" w:rsidRDefault="004E7314" w:rsidP="003050B7">
            <w:pPr>
              <w:spacing w:before="120" w:after="0"/>
              <w:rPr>
                <w:rFonts w:ascii="Calibri" w:hAnsi="Calibri"/>
                <w:b/>
                <w:bCs/>
              </w:rPr>
            </w:pPr>
            <w:r>
              <w:rPr>
                <w:rFonts w:ascii="Calibri" w:hAnsi="Calibri"/>
                <w:b/>
                <w:bCs/>
              </w:rPr>
              <w:t>Purpose</w:t>
            </w:r>
          </w:p>
        </w:tc>
        <w:tc>
          <w:tcPr>
            <w:tcW w:w="8640" w:type="dxa"/>
          </w:tcPr>
          <w:p w14:paraId="7F55ADB8" w14:textId="77777777" w:rsidR="003050B7" w:rsidRPr="00FF2CEB" w:rsidRDefault="00FF2CEB" w:rsidP="00FF2CEB">
            <w:pPr>
              <w:spacing w:before="120" w:after="120"/>
              <w:ind w:left="72" w:right="162"/>
              <w:jc w:val="both"/>
              <w:rPr>
                <w:rFonts w:ascii="Calibri" w:hAnsi="Calibri"/>
                <w:lang w:val="en-IN"/>
              </w:rPr>
            </w:pPr>
            <w:r w:rsidRPr="00FF2CEB">
              <w:rPr>
                <w:rFonts w:ascii="Calibri" w:hAnsi="Calibri"/>
                <w:lang w:val="en-IN"/>
              </w:rPr>
              <w:t>This policy aims to provide a framework to ensure the proper communication and handling of security events and incidents, so that they can be resolved in a timely manner and consider the preservation of evidence as required, as well as the improvement of processes to avoid recurrence.</w:t>
            </w:r>
          </w:p>
        </w:tc>
      </w:tr>
      <w:tr w:rsidR="003050B7" w:rsidRPr="002928E9" w14:paraId="3E7358CE" w14:textId="77777777" w:rsidTr="00980C86">
        <w:tc>
          <w:tcPr>
            <w:tcW w:w="1980" w:type="dxa"/>
          </w:tcPr>
          <w:p w14:paraId="4C1D5FCC" w14:textId="77777777" w:rsidR="003050B7" w:rsidRPr="00980C86" w:rsidRDefault="004E7314" w:rsidP="003050B7">
            <w:pPr>
              <w:spacing w:before="120" w:after="120"/>
              <w:rPr>
                <w:rFonts w:ascii="Calibri" w:hAnsi="Calibri"/>
                <w:b/>
                <w:bCs/>
              </w:rPr>
            </w:pPr>
            <w:r>
              <w:rPr>
                <w:rFonts w:ascii="Calibri" w:hAnsi="Calibri"/>
                <w:b/>
                <w:bCs/>
              </w:rPr>
              <w:t xml:space="preserve">Reference No. </w:t>
            </w:r>
          </w:p>
        </w:tc>
        <w:tc>
          <w:tcPr>
            <w:tcW w:w="8640" w:type="dxa"/>
          </w:tcPr>
          <w:p w14:paraId="1DF0EAFB" w14:textId="77777777" w:rsidR="003050B7" w:rsidRPr="008A0662" w:rsidRDefault="004E7314" w:rsidP="004E7314">
            <w:pPr>
              <w:spacing w:before="120" w:after="120"/>
              <w:ind w:left="72" w:right="162"/>
              <w:jc w:val="both"/>
              <w:rPr>
                <w:rFonts w:ascii="Calibri" w:hAnsi="Calibri"/>
              </w:rPr>
            </w:pPr>
            <w:r w:rsidRPr="004E7314">
              <w:rPr>
                <w:rFonts w:ascii="Calibri" w:hAnsi="Calibri"/>
                <w:lang w:val="en-IN"/>
              </w:rPr>
              <w:t xml:space="preserve">Annex A </w:t>
            </w:r>
            <w:r w:rsidR="00FF2CEB">
              <w:rPr>
                <w:rFonts w:ascii="Calibri" w:hAnsi="Calibri"/>
                <w:lang w:val="en-IN"/>
              </w:rPr>
              <w:t>16</w:t>
            </w:r>
          </w:p>
        </w:tc>
      </w:tr>
      <w:tr w:rsidR="003050B7" w:rsidRPr="002928E9" w14:paraId="006D7FF8" w14:textId="77777777" w:rsidTr="00980C86">
        <w:tc>
          <w:tcPr>
            <w:tcW w:w="1980" w:type="dxa"/>
          </w:tcPr>
          <w:p w14:paraId="6A22A476" w14:textId="77777777" w:rsidR="003050B7" w:rsidRDefault="004E7314" w:rsidP="003050B7">
            <w:pPr>
              <w:spacing w:before="120" w:after="120"/>
              <w:rPr>
                <w:rFonts w:ascii="Calibri" w:hAnsi="Calibri"/>
                <w:b/>
                <w:bCs/>
              </w:rPr>
            </w:pPr>
            <w:r>
              <w:rPr>
                <w:rFonts w:ascii="Calibri" w:hAnsi="Calibri"/>
                <w:b/>
                <w:bCs/>
              </w:rPr>
              <w:t>Scope</w:t>
            </w:r>
          </w:p>
        </w:tc>
        <w:tc>
          <w:tcPr>
            <w:tcW w:w="8640" w:type="dxa"/>
          </w:tcPr>
          <w:p w14:paraId="4E0C2399" w14:textId="77777777" w:rsidR="004E7314" w:rsidRPr="004E7314" w:rsidRDefault="004E7314" w:rsidP="004E7314">
            <w:pPr>
              <w:spacing w:before="120" w:after="120"/>
              <w:ind w:left="72" w:right="162"/>
              <w:jc w:val="both"/>
              <w:rPr>
                <w:rFonts w:ascii="Calibri" w:hAnsi="Calibri" w:cs="Tahoma"/>
                <w:lang w:val="en-IN"/>
              </w:rPr>
            </w:pPr>
            <w:r w:rsidRPr="004E7314">
              <w:rPr>
                <w:rFonts w:ascii="Calibri" w:hAnsi="Calibri" w:cs="Tahoma"/>
                <w:lang w:val="en-IN"/>
              </w:rPr>
              <w:t>This policy is applicable to:</w:t>
            </w:r>
          </w:p>
          <w:p w14:paraId="42BE9187"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All IT supported business processes and IT operations,</w:t>
            </w:r>
          </w:p>
          <w:p w14:paraId="23E1C5EE"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Information assets hosted by or on behalf of SMSA,</w:t>
            </w:r>
          </w:p>
          <w:p w14:paraId="277305CB"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Employees of SMSA and,</w:t>
            </w:r>
          </w:p>
          <w:p w14:paraId="02B1F76B" w14:textId="77777777" w:rsidR="003050B7" w:rsidRPr="004E7314" w:rsidRDefault="004E7314" w:rsidP="004E7314">
            <w:pPr>
              <w:numPr>
                <w:ilvl w:val="0"/>
                <w:numId w:val="3"/>
              </w:numPr>
              <w:spacing w:before="120" w:after="120"/>
              <w:ind w:right="162"/>
              <w:jc w:val="both"/>
              <w:rPr>
                <w:rStyle w:val="Strong"/>
                <w:rFonts w:ascii="Calibri" w:hAnsi="Calibri" w:cs="Tahoma"/>
                <w:b w:val="0"/>
                <w:bCs w:val="0"/>
                <w:lang w:val="en-IN"/>
              </w:rPr>
            </w:pPr>
            <w:r w:rsidRPr="004E7314">
              <w:rPr>
                <w:rFonts w:ascii="Calibri" w:hAnsi="Calibri" w:cs="Tahoma"/>
                <w:lang w:val="en-IN"/>
              </w:rPr>
              <w:t>Third parties supporting IT operations</w:t>
            </w:r>
          </w:p>
        </w:tc>
      </w:tr>
      <w:tr w:rsidR="003050B7" w:rsidRPr="002928E9" w14:paraId="5AF5CC65" w14:textId="77777777" w:rsidTr="00980C86">
        <w:tc>
          <w:tcPr>
            <w:tcW w:w="1980" w:type="dxa"/>
          </w:tcPr>
          <w:p w14:paraId="03D2F423" w14:textId="77777777" w:rsidR="003050B7" w:rsidRDefault="003050B7" w:rsidP="003050B7">
            <w:pPr>
              <w:spacing w:before="120" w:after="0"/>
              <w:rPr>
                <w:rFonts w:ascii="Calibri" w:hAnsi="Calibri"/>
                <w:b/>
                <w:bCs/>
              </w:rPr>
            </w:pPr>
            <w:r>
              <w:rPr>
                <w:rFonts w:ascii="Calibri" w:hAnsi="Calibri"/>
                <w:b/>
                <w:bCs/>
              </w:rPr>
              <w:t>Responsibilities</w:t>
            </w:r>
          </w:p>
        </w:tc>
        <w:tc>
          <w:tcPr>
            <w:tcW w:w="8640" w:type="dxa"/>
          </w:tcPr>
          <w:p w14:paraId="4EEC9F2D"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The ITD </w:t>
            </w:r>
            <w:r>
              <w:rPr>
                <w:rFonts w:ascii="Calibri" w:hAnsi="Calibri" w:cs="Tahoma"/>
                <w:lang w:val="en-IN"/>
              </w:rPr>
              <w:t xml:space="preserve">National </w:t>
            </w:r>
            <w:r w:rsidRPr="004E7314">
              <w:rPr>
                <w:rFonts w:ascii="Calibri" w:hAnsi="Calibri" w:cs="Tahoma"/>
                <w:lang w:val="en-IN"/>
              </w:rPr>
              <w:t xml:space="preserve">Manager is constituted to approve the Policies for implementation. The policies will be supported by procedures, which detail the technology specific requirements and implementation process for complying with the policies. </w:t>
            </w:r>
          </w:p>
          <w:p w14:paraId="66A35E76"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MANAGING DIRECTOR is the highest </w:t>
            </w:r>
            <w:r w:rsidR="00293E15">
              <w:rPr>
                <w:rFonts w:ascii="Calibri" w:hAnsi="Calibri" w:cs="Tahoma"/>
                <w:lang w:val="en-IN"/>
              </w:rPr>
              <w:t>l</w:t>
            </w:r>
            <w:r w:rsidRPr="004E7314">
              <w:rPr>
                <w:rFonts w:ascii="Calibri" w:hAnsi="Calibri" w:cs="Tahoma"/>
                <w:lang w:val="en-IN"/>
              </w:rPr>
              <w:t>evel for Information Security governance and shall be responsible for evaluation, direction and oversight of Information Security compliance at SMSA.</w:t>
            </w:r>
          </w:p>
          <w:p w14:paraId="246BD479" w14:textId="77777777" w:rsidR="003050B7" w:rsidRDefault="004E7314" w:rsidP="004E7314">
            <w:pPr>
              <w:spacing w:after="240"/>
              <w:ind w:left="72" w:right="162"/>
              <w:jc w:val="both"/>
              <w:rPr>
                <w:rFonts w:ascii="Calibri" w:hAnsi="Calibri" w:cs="Tahoma"/>
                <w:lang w:val="en-IN"/>
              </w:rPr>
            </w:pPr>
            <w:r w:rsidRPr="004E7314">
              <w:rPr>
                <w:rFonts w:ascii="Calibri" w:hAnsi="Calibri" w:cs="Tahoma"/>
                <w:lang w:val="en-IN"/>
              </w:rPr>
              <w:t>National IT Manager</w:t>
            </w:r>
            <w:r>
              <w:rPr>
                <w:rFonts w:ascii="Calibri" w:hAnsi="Calibri" w:cs="Tahoma"/>
                <w:lang w:val="en-IN"/>
              </w:rPr>
              <w:t xml:space="preserve"> – </w:t>
            </w:r>
          </w:p>
          <w:p w14:paraId="57C2E63F"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Approve the Policies and any subsequent modifications.</w:t>
            </w:r>
          </w:p>
          <w:p w14:paraId="6B07D2E1"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Advising for effecting changes to the Policy &amp; Procedures documents</w:t>
            </w:r>
          </w:p>
          <w:p w14:paraId="2631F355"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Conducting information security compliance reviews of all applications, information assets &amp; processes in SMSA</w:t>
            </w:r>
          </w:p>
          <w:p w14:paraId="6550C570"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Granting and removing of access rights</w:t>
            </w:r>
          </w:p>
          <w:p w14:paraId="66B3576A"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Segregation of roles and responsibilities of employees in Info. Sec. department</w:t>
            </w:r>
          </w:p>
          <w:p w14:paraId="092D75C5"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Report compliance audit result to Info. Sec. Committee.</w:t>
            </w:r>
          </w:p>
          <w:p w14:paraId="300BCE80" w14:textId="77777777" w:rsidR="004E7314" w:rsidRDefault="004E7314" w:rsidP="004E7314">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Quality &amp; Risk Department – </w:t>
            </w:r>
          </w:p>
          <w:p w14:paraId="4FFDC65C"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A</w:t>
            </w:r>
            <w:r w:rsidRPr="004E7314">
              <w:rPr>
                <w:rFonts w:ascii="Calibri" w:hAnsi="Calibri" w:cs="Tahoma"/>
                <w:lang w:val="en-IN"/>
              </w:rPr>
              <w:t>ssure the integrity of the approved ISMS policies and procedures with the existing QMS.</w:t>
            </w:r>
          </w:p>
          <w:p w14:paraId="55AFAAA9"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risk assessment with respect to ISMS is conducted regularly.</w:t>
            </w:r>
          </w:p>
          <w:p w14:paraId="4F32FD2B"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that ISMS internal audits are carried as per the internal audit plan and management review meetings will cover ISMS.</w:t>
            </w:r>
          </w:p>
          <w:p w14:paraId="72274A69"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 xml:space="preserve">nsure that regular review of ISMS documents </w:t>
            </w:r>
            <w:proofErr w:type="gramStart"/>
            <w:r w:rsidRPr="004E7314">
              <w:rPr>
                <w:rFonts w:ascii="Calibri" w:hAnsi="Calibri" w:cs="Tahoma"/>
                <w:lang w:val="en-IN"/>
              </w:rPr>
              <w:t>are</w:t>
            </w:r>
            <w:proofErr w:type="gramEnd"/>
            <w:r w:rsidRPr="004E7314">
              <w:rPr>
                <w:rFonts w:ascii="Calibri" w:hAnsi="Calibri" w:cs="Tahoma"/>
                <w:lang w:val="en-IN"/>
              </w:rPr>
              <w:t xml:space="preserve"> carried as per the document control procedure.</w:t>
            </w:r>
          </w:p>
          <w:p w14:paraId="685E9EA5" w14:textId="77777777" w:rsidR="00293E15" w:rsidRDefault="00293E15"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Investigation of breaches, reporting and recommendation of findings.</w:t>
            </w:r>
          </w:p>
          <w:p w14:paraId="10F90D91" w14:textId="77777777" w:rsidR="0093200A" w:rsidRDefault="0093200A" w:rsidP="0093200A">
            <w:pPr>
              <w:spacing w:after="240"/>
              <w:ind w:right="162"/>
              <w:jc w:val="both"/>
              <w:rPr>
                <w:rFonts w:ascii="Calibri" w:hAnsi="Calibri" w:cs="Tahoma"/>
                <w:lang w:val="en-IN"/>
              </w:rPr>
            </w:pPr>
            <w:r>
              <w:rPr>
                <w:rFonts w:ascii="Calibri" w:hAnsi="Calibri" w:cs="Tahoma"/>
                <w:lang w:val="en-IN"/>
              </w:rPr>
              <w:t xml:space="preserve">Department Heads – </w:t>
            </w:r>
          </w:p>
          <w:p w14:paraId="3D8A1D30" w14:textId="77777777" w:rsidR="0093200A" w:rsidRDefault="0093200A" w:rsidP="0093200A">
            <w:pPr>
              <w:pStyle w:val="ListParagraph"/>
              <w:numPr>
                <w:ilvl w:val="0"/>
                <w:numId w:val="22"/>
              </w:numPr>
              <w:spacing w:after="240"/>
              <w:ind w:right="162"/>
              <w:jc w:val="both"/>
              <w:rPr>
                <w:rFonts w:ascii="Calibri" w:hAnsi="Calibri" w:cs="Tahoma"/>
                <w:lang w:val="en-IN"/>
              </w:rPr>
            </w:pPr>
            <w:r>
              <w:rPr>
                <w:rFonts w:ascii="Calibri" w:hAnsi="Calibri" w:cs="Tahoma"/>
                <w:lang w:val="en-IN"/>
              </w:rPr>
              <w:lastRenderedPageBreak/>
              <w:t>Implementing and enforcing the relevant portions of the policies within their functions.</w:t>
            </w:r>
          </w:p>
          <w:p w14:paraId="768E860A" w14:textId="77777777" w:rsidR="0093200A" w:rsidRPr="0093200A" w:rsidRDefault="0093200A" w:rsidP="0093200A">
            <w:pPr>
              <w:spacing w:after="240"/>
              <w:ind w:right="162"/>
              <w:jc w:val="both"/>
              <w:rPr>
                <w:rFonts w:ascii="Calibri" w:hAnsi="Calibri" w:cs="Tahoma"/>
                <w:lang w:val="en-IN"/>
              </w:rPr>
            </w:pPr>
            <w:r>
              <w:rPr>
                <w:rFonts w:ascii="Calibri" w:hAnsi="Calibri" w:cs="Tahoma"/>
                <w:lang w:val="en-IN"/>
              </w:rPr>
              <w:t>Employees &amp; Contractors – Comply to policies</w:t>
            </w:r>
          </w:p>
          <w:p w14:paraId="54B91209" w14:textId="77777777" w:rsidR="00293E15" w:rsidRPr="00293E15" w:rsidRDefault="00293E15" w:rsidP="00293E15">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Managing Director – Approval of any exceptions to the policy. </w:t>
            </w:r>
          </w:p>
        </w:tc>
      </w:tr>
      <w:tr w:rsidR="003050B7" w:rsidRPr="002928E9" w14:paraId="17313949" w14:textId="77777777" w:rsidTr="00980C86">
        <w:tc>
          <w:tcPr>
            <w:tcW w:w="1980" w:type="dxa"/>
          </w:tcPr>
          <w:p w14:paraId="22AF1277" w14:textId="77777777" w:rsidR="003050B7" w:rsidRPr="00980C86" w:rsidRDefault="003050B7" w:rsidP="007419E0">
            <w:pPr>
              <w:spacing w:before="120" w:after="0"/>
              <w:rPr>
                <w:rFonts w:ascii="Calibri" w:hAnsi="Calibri"/>
                <w:b/>
                <w:bCs/>
              </w:rPr>
            </w:pPr>
            <w:r w:rsidRPr="00980C86">
              <w:rPr>
                <w:rFonts w:ascii="Calibri" w:hAnsi="Calibri"/>
                <w:b/>
                <w:bCs/>
              </w:rPr>
              <w:lastRenderedPageBreak/>
              <w:t>Guidelines</w:t>
            </w:r>
          </w:p>
        </w:tc>
        <w:tc>
          <w:tcPr>
            <w:tcW w:w="8640" w:type="dxa"/>
          </w:tcPr>
          <w:p w14:paraId="3164158E" w14:textId="77777777" w:rsidR="00A4449F" w:rsidRDefault="00A4449F" w:rsidP="00293E15">
            <w:pPr>
              <w:ind w:right="162"/>
              <w:jc w:val="both"/>
              <w:rPr>
                <w:rFonts w:ascii="Calibri" w:hAnsi="Calibri" w:cs="Tahoma"/>
                <w:b/>
                <w:bCs/>
                <w:u w:val="single"/>
                <w:lang w:val="en-IN"/>
              </w:rPr>
            </w:pPr>
            <w:r>
              <w:rPr>
                <w:rFonts w:ascii="Calibri" w:hAnsi="Calibri" w:cs="Tahoma"/>
                <w:b/>
                <w:bCs/>
                <w:u w:val="single"/>
                <w:lang w:val="en-IN"/>
              </w:rPr>
              <w:t>1. Policy Statement</w:t>
            </w:r>
          </w:p>
          <w:p w14:paraId="679BB682" w14:textId="77777777" w:rsidR="00293E15" w:rsidRPr="00FF2CEB" w:rsidRDefault="00293E15" w:rsidP="00FF2CEB">
            <w:pPr>
              <w:ind w:right="162"/>
              <w:rPr>
                <w:rFonts w:ascii="Calibri" w:hAnsi="Calibri" w:cs="Tahoma"/>
                <w:b/>
                <w:bCs/>
                <w:u w:val="single"/>
                <w:lang w:val="en-IN"/>
              </w:rPr>
            </w:pPr>
            <w:r w:rsidRPr="006D1B43">
              <w:rPr>
                <w:rFonts w:ascii="Calibri" w:hAnsi="Calibri" w:cs="Tahoma"/>
                <w:b/>
                <w:bCs/>
                <w:u w:val="single"/>
                <w:lang w:val="en-IN"/>
              </w:rPr>
              <w:t xml:space="preserve">1.1 </w:t>
            </w:r>
            <w:r w:rsidR="00FF2CEB" w:rsidRPr="00FF2CEB">
              <w:rPr>
                <w:rFonts w:ascii="Calibri" w:hAnsi="Calibri" w:cs="Tahoma"/>
                <w:b/>
                <w:bCs/>
                <w:u w:val="single"/>
                <w:lang w:val="en-IN"/>
              </w:rPr>
              <w:t>Management of information security incidents and improvements</w:t>
            </w:r>
          </w:p>
          <w:p w14:paraId="5BB595D5" w14:textId="77777777" w:rsidR="00293E15" w:rsidRPr="00293E15" w:rsidRDefault="00293E15" w:rsidP="00FF2CEB">
            <w:pPr>
              <w:ind w:right="162"/>
              <w:rPr>
                <w:rFonts w:ascii="Calibri" w:hAnsi="Calibri" w:cs="Tahoma"/>
                <w:b/>
                <w:bCs/>
                <w:lang w:val="en-IN"/>
              </w:rPr>
            </w:pPr>
            <w:r>
              <w:rPr>
                <w:rFonts w:ascii="Calibri" w:hAnsi="Calibri" w:cs="Tahoma"/>
                <w:b/>
                <w:bCs/>
                <w:lang w:val="en-IN"/>
              </w:rPr>
              <w:t xml:space="preserve">1.1.1 </w:t>
            </w:r>
            <w:r w:rsidR="00FF2CEB" w:rsidRPr="00FF2CEB">
              <w:rPr>
                <w:rFonts w:ascii="Calibri" w:hAnsi="Calibri" w:cs="Tahoma"/>
                <w:b/>
                <w:bCs/>
                <w:lang w:val="en-IN"/>
              </w:rPr>
              <w:t>Responsibilities and procedures</w:t>
            </w:r>
          </w:p>
          <w:p w14:paraId="6041E8D7" w14:textId="77777777" w:rsidR="00FF2CEB" w:rsidRPr="00FF2CEB" w:rsidRDefault="00FF2CEB" w:rsidP="00FF2CEB">
            <w:pPr>
              <w:pStyle w:val="ListParagraph"/>
              <w:numPr>
                <w:ilvl w:val="0"/>
                <w:numId w:val="9"/>
              </w:numPr>
              <w:ind w:right="162"/>
              <w:rPr>
                <w:rFonts w:ascii="Calibri" w:hAnsi="Calibri" w:cs="Tahoma"/>
                <w:lang w:val="en-IN"/>
              </w:rPr>
            </w:pPr>
            <w:r w:rsidRPr="00FF2CEB">
              <w:rPr>
                <w:rFonts w:ascii="Calibri" w:hAnsi="Calibri" w:cs="Tahoma"/>
                <w:lang w:val="en-IN"/>
              </w:rPr>
              <w:t>SMSA IT Management and NATIONAL IT MANAGER responsibilities should be established to ensure that the following procedures are developed and communicated adequately:</w:t>
            </w:r>
          </w:p>
          <w:p w14:paraId="5B8E5F7D" w14:textId="77777777" w:rsidR="00FF2CEB" w:rsidRPr="00FF2CEB" w:rsidRDefault="00FF2CEB" w:rsidP="00FF2CEB">
            <w:pPr>
              <w:pStyle w:val="ListParagraph"/>
              <w:numPr>
                <w:ilvl w:val="0"/>
                <w:numId w:val="25"/>
              </w:numPr>
              <w:ind w:right="162"/>
              <w:jc w:val="both"/>
              <w:rPr>
                <w:rFonts w:ascii="Calibri" w:hAnsi="Calibri" w:cs="Tahoma"/>
                <w:lang w:val="en-IN"/>
              </w:rPr>
            </w:pPr>
            <w:r w:rsidRPr="00FF2CEB">
              <w:rPr>
                <w:rFonts w:ascii="Calibri" w:hAnsi="Calibri" w:cs="Tahoma"/>
                <w:lang w:val="en-IN"/>
              </w:rPr>
              <w:t>Incident response planning and preparation</w:t>
            </w:r>
          </w:p>
          <w:p w14:paraId="7FF22103" w14:textId="77777777" w:rsidR="00FF2CEB" w:rsidRPr="00FF2CEB" w:rsidRDefault="00FF2CEB" w:rsidP="00FF2CEB">
            <w:pPr>
              <w:pStyle w:val="ListParagraph"/>
              <w:numPr>
                <w:ilvl w:val="0"/>
                <w:numId w:val="25"/>
              </w:numPr>
              <w:ind w:right="162"/>
              <w:jc w:val="both"/>
              <w:rPr>
                <w:rFonts w:ascii="Calibri" w:hAnsi="Calibri" w:cs="Tahoma"/>
                <w:lang w:val="en-IN"/>
              </w:rPr>
            </w:pPr>
            <w:r w:rsidRPr="00FF2CEB">
              <w:rPr>
                <w:rFonts w:ascii="Calibri" w:hAnsi="Calibri" w:cs="Tahoma"/>
                <w:lang w:val="en-IN"/>
              </w:rPr>
              <w:t>Monitoring, detecting, analysing and reporting of information security events and incidents</w:t>
            </w:r>
          </w:p>
          <w:p w14:paraId="06E971CB" w14:textId="77777777" w:rsidR="00FF2CEB" w:rsidRPr="00FF2CEB" w:rsidRDefault="00FF2CEB" w:rsidP="00FF2CEB">
            <w:pPr>
              <w:pStyle w:val="ListParagraph"/>
              <w:numPr>
                <w:ilvl w:val="0"/>
                <w:numId w:val="25"/>
              </w:numPr>
              <w:ind w:right="162"/>
              <w:jc w:val="both"/>
              <w:rPr>
                <w:rFonts w:ascii="Calibri" w:hAnsi="Calibri" w:cs="Tahoma"/>
                <w:lang w:val="en-IN"/>
              </w:rPr>
            </w:pPr>
            <w:r w:rsidRPr="00FF2CEB">
              <w:rPr>
                <w:rFonts w:ascii="Calibri" w:hAnsi="Calibri" w:cs="Tahoma"/>
                <w:lang w:val="en-IN"/>
              </w:rPr>
              <w:t>Logging incident management activities</w:t>
            </w:r>
          </w:p>
          <w:p w14:paraId="44BF3C68" w14:textId="77777777" w:rsidR="00FF2CEB" w:rsidRPr="00FF2CEB" w:rsidRDefault="00FF2CEB" w:rsidP="00FF2CEB">
            <w:pPr>
              <w:pStyle w:val="ListParagraph"/>
              <w:numPr>
                <w:ilvl w:val="0"/>
                <w:numId w:val="25"/>
              </w:numPr>
              <w:ind w:right="162"/>
              <w:jc w:val="both"/>
              <w:rPr>
                <w:rFonts w:ascii="Calibri" w:hAnsi="Calibri" w:cs="Tahoma"/>
                <w:lang w:val="en-IN"/>
              </w:rPr>
            </w:pPr>
            <w:r w:rsidRPr="00FF2CEB">
              <w:rPr>
                <w:rFonts w:ascii="Calibri" w:hAnsi="Calibri" w:cs="Tahoma"/>
                <w:lang w:val="en-IN"/>
              </w:rPr>
              <w:t>Handling of forensic evidence</w:t>
            </w:r>
          </w:p>
          <w:p w14:paraId="777D3C71" w14:textId="77777777" w:rsidR="00FF2CEB" w:rsidRPr="00FF2CEB" w:rsidRDefault="00FF2CEB" w:rsidP="00FF2CEB">
            <w:pPr>
              <w:pStyle w:val="ListParagraph"/>
              <w:numPr>
                <w:ilvl w:val="0"/>
                <w:numId w:val="25"/>
              </w:numPr>
              <w:ind w:right="162"/>
              <w:jc w:val="both"/>
              <w:rPr>
                <w:rFonts w:ascii="Calibri" w:hAnsi="Calibri" w:cs="Tahoma"/>
                <w:lang w:val="en-IN"/>
              </w:rPr>
            </w:pPr>
            <w:r w:rsidRPr="00FF2CEB">
              <w:rPr>
                <w:rFonts w:ascii="Calibri" w:hAnsi="Calibri" w:cs="Tahoma"/>
                <w:lang w:val="en-IN"/>
              </w:rPr>
              <w:t>Assessment of and decision on information security events and assessment of information security weaknesses</w:t>
            </w:r>
          </w:p>
          <w:p w14:paraId="1A84B303" w14:textId="77777777" w:rsidR="00FF2CEB" w:rsidRPr="00FF2CEB" w:rsidRDefault="00FF2CEB" w:rsidP="00FF2CEB">
            <w:pPr>
              <w:pStyle w:val="ListParagraph"/>
              <w:numPr>
                <w:ilvl w:val="0"/>
                <w:numId w:val="25"/>
              </w:numPr>
              <w:ind w:right="162"/>
              <w:jc w:val="both"/>
              <w:rPr>
                <w:rFonts w:ascii="Calibri" w:hAnsi="Calibri" w:cs="Tahoma"/>
                <w:lang w:val="en-IN"/>
              </w:rPr>
            </w:pPr>
            <w:r w:rsidRPr="00FF2CEB">
              <w:rPr>
                <w:rFonts w:ascii="Calibri" w:hAnsi="Calibri" w:cs="Tahoma"/>
                <w:lang w:val="en-IN"/>
              </w:rPr>
              <w:t>Response including those for escalation, controlled recovery from an incident and communication to internal and external people or organizations</w:t>
            </w:r>
          </w:p>
          <w:p w14:paraId="6FD44C95" w14:textId="77777777" w:rsidR="00FF2CEB" w:rsidRPr="00FF2CEB" w:rsidRDefault="00FF2CEB" w:rsidP="00FF2CEB">
            <w:pPr>
              <w:pStyle w:val="ListParagraph"/>
              <w:numPr>
                <w:ilvl w:val="0"/>
                <w:numId w:val="25"/>
              </w:numPr>
              <w:ind w:right="162"/>
              <w:rPr>
                <w:rFonts w:ascii="Calibri" w:hAnsi="Calibri" w:cs="Tahoma"/>
                <w:lang w:val="en-IN"/>
              </w:rPr>
            </w:pPr>
            <w:r w:rsidRPr="00FF2CEB">
              <w:rPr>
                <w:rFonts w:ascii="Calibri" w:hAnsi="Calibri" w:cs="Tahoma"/>
                <w:lang w:val="en-IN"/>
              </w:rPr>
              <w:t>SMSA</w:t>
            </w:r>
            <w:r>
              <w:rPr>
                <w:rFonts w:ascii="Calibri" w:hAnsi="Calibri" w:cs="Tahoma"/>
                <w:lang w:val="en-IN"/>
              </w:rPr>
              <w:t xml:space="preserve"> </w:t>
            </w:r>
            <w:r w:rsidRPr="00FF2CEB">
              <w:rPr>
                <w:rFonts w:ascii="Calibri" w:hAnsi="Calibri" w:cs="Tahoma"/>
                <w:lang w:val="en-IN"/>
              </w:rPr>
              <w:t>NATIONAL IT MANAGER shall make sure that procedure include the following:</w:t>
            </w:r>
          </w:p>
          <w:p w14:paraId="3E8AEFCF" w14:textId="77777777" w:rsidR="00FF2CEB" w:rsidRPr="00FF2CEB" w:rsidRDefault="00FF2CEB" w:rsidP="00FF2CEB">
            <w:pPr>
              <w:pStyle w:val="ListParagraph"/>
              <w:numPr>
                <w:ilvl w:val="0"/>
                <w:numId w:val="25"/>
              </w:numPr>
              <w:ind w:right="162"/>
              <w:jc w:val="both"/>
              <w:rPr>
                <w:rFonts w:ascii="Calibri" w:hAnsi="Calibri" w:cs="Tahoma"/>
                <w:lang w:val="en-IN"/>
              </w:rPr>
            </w:pPr>
            <w:r w:rsidRPr="00FF2CEB">
              <w:rPr>
                <w:rFonts w:ascii="Calibri" w:hAnsi="Calibri" w:cs="Tahoma"/>
                <w:lang w:val="en-IN"/>
              </w:rPr>
              <w:t>Competent personnel handle the issues related to information security incidents within SMSA</w:t>
            </w:r>
          </w:p>
          <w:p w14:paraId="731E9F74" w14:textId="77777777" w:rsidR="00FF2CEB" w:rsidRPr="00FF2CEB" w:rsidRDefault="00FF2CEB" w:rsidP="00FF2CEB">
            <w:pPr>
              <w:pStyle w:val="ListParagraph"/>
              <w:numPr>
                <w:ilvl w:val="0"/>
                <w:numId w:val="25"/>
              </w:numPr>
              <w:ind w:right="162"/>
              <w:jc w:val="both"/>
              <w:rPr>
                <w:rFonts w:ascii="Calibri" w:hAnsi="Calibri" w:cs="Tahoma"/>
                <w:lang w:val="en-IN"/>
              </w:rPr>
            </w:pPr>
            <w:r w:rsidRPr="00FF2CEB">
              <w:rPr>
                <w:rFonts w:ascii="Calibri" w:hAnsi="Calibri" w:cs="Tahoma"/>
                <w:lang w:val="en-IN"/>
              </w:rPr>
              <w:t>Appoint of contact for security incidents’ detection and reporting is implemented</w:t>
            </w:r>
          </w:p>
          <w:p w14:paraId="78D81B60" w14:textId="77777777" w:rsidR="00FF2CEB" w:rsidRPr="00FF2CEB" w:rsidRDefault="00FF2CEB" w:rsidP="00FF2CEB">
            <w:pPr>
              <w:pStyle w:val="ListParagraph"/>
              <w:numPr>
                <w:ilvl w:val="0"/>
                <w:numId w:val="25"/>
              </w:numPr>
              <w:ind w:right="162"/>
              <w:jc w:val="both"/>
              <w:rPr>
                <w:rFonts w:ascii="Calibri" w:hAnsi="Calibri" w:cs="Tahoma"/>
                <w:lang w:val="en-IN"/>
              </w:rPr>
            </w:pPr>
            <w:r w:rsidRPr="00FF2CEB">
              <w:rPr>
                <w:rFonts w:ascii="Calibri" w:hAnsi="Calibri" w:cs="Tahoma"/>
                <w:lang w:val="en-IN"/>
              </w:rPr>
              <w:t>Appropriate contacts with authorities, external interest groups or forums that handle the issues related to information security incidents are maintained;</w:t>
            </w:r>
          </w:p>
          <w:p w14:paraId="159F23FE" w14:textId="77777777" w:rsidR="00FF2CEB" w:rsidRPr="00FF2CEB" w:rsidRDefault="00FF2CEB" w:rsidP="00FF2CEB">
            <w:pPr>
              <w:pStyle w:val="ListParagraph"/>
              <w:numPr>
                <w:ilvl w:val="0"/>
                <w:numId w:val="9"/>
              </w:numPr>
              <w:ind w:right="162"/>
              <w:rPr>
                <w:rFonts w:ascii="Calibri" w:hAnsi="Calibri" w:cs="Tahoma"/>
                <w:lang w:val="en-IN"/>
              </w:rPr>
            </w:pPr>
            <w:r w:rsidRPr="00FF2CEB">
              <w:rPr>
                <w:rFonts w:ascii="Calibri" w:hAnsi="Calibri" w:cs="Tahoma"/>
                <w:lang w:val="en-IN"/>
              </w:rPr>
              <w:t>SMSA IT and Employee shall follow reporting procedures to NATIONAL IT MANAGER if security incident including:</w:t>
            </w:r>
          </w:p>
          <w:p w14:paraId="15349354" w14:textId="77777777" w:rsidR="00FF2CEB" w:rsidRPr="00FF2CEB" w:rsidRDefault="00FF2CEB" w:rsidP="00FF2CEB">
            <w:pPr>
              <w:pStyle w:val="ListParagraph"/>
              <w:numPr>
                <w:ilvl w:val="0"/>
                <w:numId w:val="25"/>
              </w:numPr>
              <w:ind w:right="162"/>
              <w:jc w:val="both"/>
              <w:rPr>
                <w:rFonts w:ascii="Calibri" w:hAnsi="Calibri" w:cs="Tahoma"/>
                <w:lang w:val="en-IN"/>
              </w:rPr>
            </w:pPr>
            <w:r w:rsidRPr="00FF2CEB">
              <w:rPr>
                <w:rFonts w:ascii="Calibri" w:hAnsi="Calibri" w:cs="Tahoma"/>
                <w:lang w:val="en-IN"/>
              </w:rPr>
              <w:t>Preparing information security event reporting forms</w:t>
            </w:r>
          </w:p>
          <w:p w14:paraId="1D04BF01" w14:textId="77777777" w:rsidR="00FF2CEB" w:rsidRPr="00FF2CEB" w:rsidRDefault="00FF2CEB" w:rsidP="00FF2CEB">
            <w:pPr>
              <w:pStyle w:val="ListParagraph"/>
              <w:numPr>
                <w:ilvl w:val="0"/>
                <w:numId w:val="25"/>
              </w:numPr>
              <w:ind w:right="162"/>
              <w:jc w:val="both"/>
              <w:rPr>
                <w:rFonts w:ascii="Calibri" w:hAnsi="Calibri" w:cs="Tahoma"/>
                <w:lang w:val="en-IN"/>
              </w:rPr>
            </w:pPr>
            <w:r w:rsidRPr="00FF2CEB">
              <w:rPr>
                <w:rFonts w:ascii="Calibri" w:hAnsi="Calibri" w:cs="Tahoma"/>
                <w:lang w:val="en-IN"/>
              </w:rPr>
              <w:t>The procedure to be undertaken in case of an information security event</w:t>
            </w:r>
          </w:p>
          <w:p w14:paraId="5A2059C3" w14:textId="77777777" w:rsidR="00FF2CEB" w:rsidRPr="00FF2CEB" w:rsidRDefault="00FF2CEB" w:rsidP="00FF2CEB">
            <w:pPr>
              <w:pStyle w:val="ListParagraph"/>
              <w:numPr>
                <w:ilvl w:val="0"/>
                <w:numId w:val="25"/>
              </w:numPr>
              <w:ind w:right="162"/>
              <w:jc w:val="both"/>
              <w:rPr>
                <w:rFonts w:ascii="Calibri" w:hAnsi="Calibri" w:cs="Tahoma"/>
                <w:lang w:val="en-IN"/>
              </w:rPr>
            </w:pPr>
            <w:r w:rsidRPr="00FF2CEB">
              <w:rPr>
                <w:rFonts w:ascii="Calibri" w:hAnsi="Calibri" w:cs="Tahoma"/>
                <w:lang w:val="en-IN"/>
              </w:rPr>
              <w:t>Reference to an established formal disciplinary process for dealing with employees who commit security breaches</w:t>
            </w:r>
          </w:p>
          <w:p w14:paraId="262063DC" w14:textId="77777777" w:rsidR="00FF2CEB" w:rsidRDefault="00FF2CEB" w:rsidP="00FF2CEB">
            <w:pPr>
              <w:pStyle w:val="ListParagraph"/>
              <w:numPr>
                <w:ilvl w:val="0"/>
                <w:numId w:val="25"/>
              </w:numPr>
              <w:ind w:right="162"/>
              <w:jc w:val="both"/>
              <w:rPr>
                <w:rFonts w:ascii="Calibri" w:hAnsi="Calibri" w:cs="Tahoma"/>
                <w:lang w:val="en-IN"/>
              </w:rPr>
            </w:pPr>
            <w:r w:rsidRPr="00FF2CEB">
              <w:rPr>
                <w:rFonts w:ascii="Calibri" w:hAnsi="Calibri" w:cs="Tahoma"/>
                <w:lang w:val="en-IN"/>
              </w:rPr>
              <w:t>Feedback processes</w:t>
            </w:r>
          </w:p>
          <w:p w14:paraId="43A3B67A" w14:textId="77777777" w:rsidR="00FF2CEB" w:rsidRPr="00FF2CEB" w:rsidRDefault="00FF2CEB" w:rsidP="00FF2CEB">
            <w:pPr>
              <w:ind w:right="162"/>
              <w:rPr>
                <w:rFonts w:ascii="Calibri" w:hAnsi="Calibri" w:cs="Tahoma"/>
                <w:b/>
                <w:bCs/>
                <w:lang w:val="en-IN"/>
              </w:rPr>
            </w:pPr>
            <w:r>
              <w:rPr>
                <w:rFonts w:ascii="Calibri" w:hAnsi="Calibri" w:cs="Tahoma"/>
                <w:b/>
                <w:bCs/>
                <w:lang w:val="en-IN"/>
              </w:rPr>
              <w:t>1.1.2</w:t>
            </w:r>
            <w:r w:rsidRPr="00FF2CEB">
              <w:rPr>
                <w:rFonts w:ascii="Calibri" w:hAnsi="Calibri" w:cs="Tahoma"/>
                <w:b/>
                <w:bCs/>
                <w:lang w:val="en-IN"/>
              </w:rPr>
              <w:t xml:space="preserve"> Reporting information security events</w:t>
            </w:r>
          </w:p>
          <w:p w14:paraId="7A9C5210" w14:textId="77777777" w:rsidR="00FF2CEB" w:rsidRPr="00FF2CEB" w:rsidRDefault="00FF2CEB" w:rsidP="00FF2CEB">
            <w:pPr>
              <w:pStyle w:val="ListParagraph"/>
              <w:numPr>
                <w:ilvl w:val="0"/>
                <w:numId w:val="9"/>
              </w:numPr>
              <w:ind w:right="162"/>
              <w:rPr>
                <w:rFonts w:ascii="Calibri" w:hAnsi="Calibri" w:cs="Tahoma"/>
                <w:lang w:val="en-IN"/>
              </w:rPr>
            </w:pPr>
            <w:r w:rsidRPr="00FF2CEB">
              <w:rPr>
                <w:rFonts w:ascii="Calibri" w:hAnsi="Calibri" w:cs="Tahoma"/>
                <w:lang w:val="en-IN"/>
              </w:rPr>
              <w:t>SMSA reporting on information security incident shall considered:</w:t>
            </w:r>
          </w:p>
          <w:p w14:paraId="5A0537A8" w14:textId="77777777" w:rsidR="00FF2CEB" w:rsidRPr="00FF2CEB" w:rsidRDefault="00FF2CEB" w:rsidP="00FF2CEB">
            <w:pPr>
              <w:pStyle w:val="ListParagraph"/>
              <w:numPr>
                <w:ilvl w:val="0"/>
                <w:numId w:val="25"/>
              </w:numPr>
              <w:ind w:right="162"/>
              <w:jc w:val="both"/>
              <w:rPr>
                <w:rFonts w:ascii="Calibri" w:hAnsi="Calibri" w:cs="Tahoma"/>
                <w:lang w:val="en-IN"/>
              </w:rPr>
            </w:pPr>
            <w:r>
              <w:t xml:space="preserve"> </w:t>
            </w:r>
            <w:r w:rsidRPr="00FF2CEB">
              <w:rPr>
                <w:rFonts w:ascii="Calibri" w:hAnsi="Calibri" w:cs="Tahoma"/>
                <w:lang w:val="en-IN"/>
              </w:rPr>
              <w:t>Ineffective security control</w:t>
            </w:r>
          </w:p>
          <w:p w14:paraId="15350E03" w14:textId="77777777" w:rsidR="00FF2CEB" w:rsidRPr="00FF2CEB" w:rsidRDefault="00FF2CEB" w:rsidP="00FF2CEB">
            <w:pPr>
              <w:pStyle w:val="ListParagraph"/>
              <w:numPr>
                <w:ilvl w:val="0"/>
                <w:numId w:val="25"/>
              </w:numPr>
              <w:ind w:right="162"/>
              <w:jc w:val="both"/>
              <w:rPr>
                <w:rFonts w:ascii="Calibri" w:hAnsi="Calibri" w:cs="Tahoma"/>
                <w:lang w:val="en-IN"/>
              </w:rPr>
            </w:pPr>
            <w:r w:rsidRPr="00FF2CEB">
              <w:rPr>
                <w:rFonts w:ascii="Calibri" w:hAnsi="Calibri" w:cs="Tahoma"/>
                <w:lang w:val="en-IN"/>
              </w:rPr>
              <w:lastRenderedPageBreak/>
              <w:t xml:space="preserve"> Breach of information integrity, confidentiality or availability expectations</w:t>
            </w:r>
          </w:p>
          <w:p w14:paraId="2F6744BC" w14:textId="77777777" w:rsidR="00FF2CEB" w:rsidRPr="00FF2CEB" w:rsidRDefault="00FF2CEB" w:rsidP="00FF2CEB">
            <w:pPr>
              <w:pStyle w:val="ListParagraph"/>
              <w:numPr>
                <w:ilvl w:val="0"/>
                <w:numId w:val="25"/>
              </w:numPr>
              <w:ind w:right="162"/>
              <w:jc w:val="both"/>
              <w:rPr>
                <w:rFonts w:ascii="Calibri" w:hAnsi="Calibri" w:cs="Tahoma"/>
                <w:lang w:val="en-IN"/>
              </w:rPr>
            </w:pPr>
            <w:r w:rsidRPr="00FF2CEB">
              <w:rPr>
                <w:rFonts w:ascii="Calibri" w:hAnsi="Calibri" w:cs="Tahoma"/>
                <w:lang w:val="en-IN"/>
              </w:rPr>
              <w:t xml:space="preserve"> Human errors</w:t>
            </w:r>
          </w:p>
          <w:p w14:paraId="27C4AA41" w14:textId="77777777" w:rsidR="00FF2CEB" w:rsidRPr="00FF2CEB" w:rsidRDefault="00FF2CEB" w:rsidP="00FF2CEB">
            <w:pPr>
              <w:pStyle w:val="ListParagraph"/>
              <w:numPr>
                <w:ilvl w:val="0"/>
                <w:numId w:val="25"/>
              </w:numPr>
              <w:ind w:right="162"/>
              <w:jc w:val="both"/>
              <w:rPr>
                <w:rFonts w:ascii="Calibri" w:hAnsi="Calibri" w:cs="Tahoma"/>
                <w:lang w:val="en-IN"/>
              </w:rPr>
            </w:pPr>
            <w:r w:rsidRPr="00FF2CEB">
              <w:rPr>
                <w:rFonts w:ascii="Calibri" w:hAnsi="Calibri" w:cs="Tahoma"/>
                <w:lang w:val="en-IN"/>
              </w:rPr>
              <w:t xml:space="preserve"> Non-compliances with policies or guidelines</w:t>
            </w:r>
          </w:p>
          <w:p w14:paraId="3EC43DCE" w14:textId="77777777" w:rsidR="00FF2CEB" w:rsidRPr="00FF2CEB" w:rsidRDefault="00FF2CEB" w:rsidP="00FF2CEB">
            <w:pPr>
              <w:pStyle w:val="ListParagraph"/>
              <w:numPr>
                <w:ilvl w:val="0"/>
                <w:numId w:val="25"/>
              </w:numPr>
              <w:ind w:right="162"/>
              <w:jc w:val="both"/>
              <w:rPr>
                <w:rFonts w:ascii="Calibri" w:hAnsi="Calibri" w:cs="Tahoma"/>
                <w:lang w:val="en-IN"/>
              </w:rPr>
            </w:pPr>
            <w:r w:rsidRPr="00FF2CEB">
              <w:rPr>
                <w:rFonts w:ascii="Calibri" w:hAnsi="Calibri" w:cs="Tahoma"/>
                <w:lang w:val="en-IN"/>
              </w:rPr>
              <w:t xml:space="preserve"> Breaches of physical security arrangements</w:t>
            </w:r>
          </w:p>
          <w:p w14:paraId="0983D88A" w14:textId="77777777" w:rsidR="00FF2CEB" w:rsidRPr="00FF2CEB" w:rsidRDefault="00FF2CEB" w:rsidP="00FF2CEB">
            <w:pPr>
              <w:pStyle w:val="ListParagraph"/>
              <w:numPr>
                <w:ilvl w:val="0"/>
                <w:numId w:val="25"/>
              </w:numPr>
              <w:ind w:right="162"/>
              <w:jc w:val="both"/>
              <w:rPr>
                <w:rFonts w:ascii="Calibri" w:hAnsi="Calibri" w:cs="Tahoma"/>
                <w:lang w:val="en-IN"/>
              </w:rPr>
            </w:pPr>
            <w:r w:rsidRPr="00FF2CEB">
              <w:rPr>
                <w:rFonts w:ascii="Calibri" w:hAnsi="Calibri" w:cs="Tahoma"/>
                <w:lang w:val="en-IN"/>
              </w:rPr>
              <w:t xml:space="preserve"> Uncontrolled system changes</w:t>
            </w:r>
          </w:p>
          <w:p w14:paraId="2216CB4D" w14:textId="77777777" w:rsidR="00FF2CEB" w:rsidRPr="00FF2CEB" w:rsidRDefault="00FF2CEB" w:rsidP="00FF2CEB">
            <w:pPr>
              <w:pStyle w:val="ListParagraph"/>
              <w:numPr>
                <w:ilvl w:val="0"/>
                <w:numId w:val="25"/>
              </w:numPr>
              <w:ind w:right="162"/>
              <w:jc w:val="both"/>
              <w:rPr>
                <w:rFonts w:ascii="Calibri" w:hAnsi="Calibri" w:cs="Tahoma"/>
                <w:lang w:val="en-IN"/>
              </w:rPr>
            </w:pPr>
            <w:r w:rsidRPr="00FF2CEB">
              <w:rPr>
                <w:rFonts w:ascii="Calibri" w:hAnsi="Calibri" w:cs="Tahoma"/>
                <w:lang w:val="en-IN"/>
              </w:rPr>
              <w:t xml:space="preserve"> Malfunctions of software or hardware</w:t>
            </w:r>
          </w:p>
          <w:p w14:paraId="5F82000B" w14:textId="77777777" w:rsidR="00FF2CEB" w:rsidRPr="00FF2CEB" w:rsidRDefault="00FF2CEB" w:rsidP="00FF2CEB">
            <w:pPr>
              <w:pStyle w:val="ListParagraph"/>
              <w:numPr>
                <w:ilvl w:val="0"/>
                <w:numId w:val="25"/>
              </w:numPr>
              <w:ind w:right="162"/>
              <w:jc w:val="both"/>
              <w:rPr>
                <w:rFonts w:ascii="Calibri" w:hAnsi="Calibri" w:cs="Tahoma"/>
                <w:lang w:val="en-IN"/>
              </w:rPr>
            </w:pPr>
            <w:r w:rsidRPr="00FF2CEB">
              <w:rPr>
                <w:rFonts w:ascii="Calibri" w:hAnsi="Calibri" w:cs="Tahoma"/>
                <w:lang w:val="en-IN"/>
              </w:rPr>
              <w:t xml:space="preserve"> Access violations</w:t>
            </w:r>
          </w:p>
          <w:p w14:paraId="1948933F" w14:textId="77777777" w:rsidR="00FF2CEB" w:rsidRPr="00FF2CEB" w:rsidRDefault="00FF2CEB" w:rsidP="00FF2CEB">
            <w:pPr>
              <w:pStyle w:val="ListParagraph"/>
              <w:numPr>
                <w:ilvl w:val="0"/>
                <w:numId w:val="9"/>
              </w:numPr>
              <w:ind w:right="162"/>
              <w:rPr>
                <w:rFonts w:ascii="Calibri" w:hAnsi="Calibri" w:cs="Tahoma"/>
                <w:lang w:val="en-IN"/>
              </w:rPr>
            </w:pPr>
            <w:r w:rsidRPr="00FF2CEB">
              <w:rPr>
                <w:rFonts w:ascii="Calibri" w:hAnsi="Calibri" w:cs="Tahoma"/>
                <w:lang w:val="en-IN"/>
              </w:rPr>
              <w:t>Reporting shall be by SMSA IT, SMSA Employees, SMSA contractors or external party to NATIONAL IT MANAGER</w:t>
            </w:r>
          </w:p>
          <w:p w14:paraId="104584EC" w14:textId="77777777" w:rsidR="00FF2CEB" w:rsidRPr="00FF2CEB" w:rsidRDefault="00FF2CEB" w:rsidP="00FF2CEB">
            <w:pPr>
              <w:ind w:right="162"/>
              <w:rPr>
                <w:rFonts w:ascii="Calibri" w:hAnsi="Calibri" w:cs="Tahoma"/>
                <w:b/>
                <w:bCs/>
                <w:lang w:val="en-IN"/>
              </w:rPr>
            </w:pPr>
            <w:r>
              <w:rPr>
                <w:rFonts w:ascii="Calibri" w:hAnsi="Calibri" w:cs="Tahoma"/>
                <w:b/>
                <w:bCs/>
                <w:lang w:val="en-IN"/>
              </w:rPr>
              <w:t>1.1.3</w:t>
            </w:r>
            <w:r w:rsidRPr="00FF2CEB">
              <w:rPr>
                <w:rFonts w:ascii="Calibri" w:hAnsi="Calibri" w:cs="Tahoma"/>
                <w:b/>
                <w:bCs/>
                <w:lang w:val="en-IN"/>
              </w:rPr>
              <w:t xml:space="preserve"> Reporting information security </w:t>
            </w:r>
            <w:r>
              <w:rPr>
                <w:rFonts w:ascii="Calibri" w:hAnsi="Calibri" w:cs="Tahoma"/>
                <w:b/>
                <w:bCs/>
                <w:lang w:val="en-IN"/>
              </w:rPr>
              <w:t>weakness</w:t>
            </w:r>
          </w:p>
          <w:p w14:paraId="56090B94" w14:textId="77777777" w:rsidR="00FF2CEB" w:rsidRPr="00FF2CEB" w:rsidRDefault="00FF2CEB" w:rsidP="00FF2CEB">
            <w:pPr>
              <w:pStyle w:val="ListParagraph"/>
              <w:numPr>
                <w:ilvl w:val="0"/>
                <w:numId w:val="9"/>
              </w:numPr>
              <w:ind w:right="162"/>
              <w:rPr>
                <w:rFonts w:ascii="Calibri" w:hAnsi="Calibri" w:cs="Tahoma"/>
                <w:lang w:val="en-IN"/>
              </w:rPr>
            </w:pPr>
            <w:r w:rsidRPr="00FF2CEB">
              <w:rPr>
                <w:rFonts w:ascii="Calibri" w:hAnsi="Calibri" w:cs="Tahoma"/>
                <w:lang w:val="en-IN"/>
              </w:rPr>
              <w:t>Employees and contractors using the SMSA information systems and services should be required to note and report any observed or suspected information security weaknesses in systems or services.</w:t>
            </w:r>
          </w:p>
          <w:p w14:paraId="340E0F4C" w14:textId="77777777" w:rsidR="00FF2CEB" w:rsidRPr="00FF2CEB" w:rsidRDefault="00FF2CEB" w:rsidP="00FF2CEB">
            <w:pPr>
              <w:pStyle w:val="ListParagraph"/>
              <w:numPr>
                <w:ilvl w:val="0"/>
                <w:numId w:val="9"/>
              </w:numPr>
              <w:ind w:right="162"/>
              <w:rPr>
                <w:rFonts w:ascii="Calibri" w:hAnsi="Calibri" w:cs="Tahoma"/>
                <w:lang w:val="en-IN"/>
              </w:rPr>
            </w:pPr>
            <w:r w:rsidRPr="00FF2CEB">
              <w:rPr>
                <w:rFonts w:ascii="Calibri" w:hAnsi="Calibri" w:cs="Tahoma"/>
                <w:lang w:val="en-IN"/>
              </w:rPr>
              <w:t>All employees and contractors should report these matters to the point of contact as quickly as possible in order to prevent information security incidents.</w:t>
            </w:r>
          </w:p>
          <w:p w14:paraId="1A6DAAFB" w14:textId="77777777" w:rsidR="00FF2CEB" w:rsidRPr="00FF2CEB" w:rsidRDefault="00FF2CEB" w:rsidP="00FF2CEB">
            <w:pPr>
              <w:pStyle w:val="ListParagraph"/>
              <w:numPr>
                <w:ilvl w:val="0"/>
                <w:numId w:val="9"/>
              </w:numPr>
              <w:ind w:right="162"/>
              <w:rPr>
                <w:rFonts w:ascii="Calibri" w:hAnsi="Calibri" w:cs="Tahoma"/>
                <w:lang w:val="en-IN"/>
              </w:rPr>
            </w:pPr>
            <w:r w:rsidRPr="00FF2CEB">
              <w:rPr>
                <w:rFonts w:ascii="Calibri" w:hAnsi="Calibri" w:cs="Tahoma"/>
                <w:lang w:val="en-IN"/>
              </w:rPr>
              <w:t>The reporting mechanism should be as easy, accessible and available as possible.</w:t>
            </w:r>
          </w:p>
          <w:p w14:paraId="7C4526E3" w14:textId="77777777" w:rsidR="00FF2CEB" w:rsidRPr="00FF2CEB" w:rsidRDefault="00FF2CEB" w:rsidP="00FF2CEB">
            <w:pPr>
              <w:ind w:right="162"/>
              <w:rPr>
                <w:rFonts w:ascii="Calibri" w:hAnsi="Calibri" w:cs="Tahoma"/>
                <w:b/>
                <w:bCs/>
                <w:lang w:val="en-IN"/>
              </w:rPr>
            </w:pPr>
            <w:r>
              <w:rPr>
                <w:rFonts w:ascii="Calibri" w:hAnsi="Calibri" w:cs="Tahoma"/>
                <w:b/>
                <w:bCs/>
                <w:lang w:val="en-IN"/>
              </w:rPr>
              <w:t xml:space="preserve">1.1.4 </w:t>
            </w:r>
            <w:r w:rsidRPr="00FF2CEB">
              <w:rPr>
                <w:rFonts w:ascii="Calibri" w:hAnsi="Calibri" w:cs="Tahoma"/>
                <w:b/>
                <w:bCs/>
                <w:lang w:val="en-IN"/>
              </w:rPr>
              <w:t>Assessment of and decision on information security events</w:t>
            </w:r>
          </w:p>
          <w:p w14:paraId="03F1CC27" w14:textId="77777777" w:rsidR="00FF2CEB" w:rsidRPr="006215BF" w:rsidRDefault="00FF2CEB" w:rsidP="006215BF">
            <w:pPr>
              <w:pStyle w:val="ListParagraph"/>
              <w:numPr>
                <w:ilvl w:val="0"/>
                <w:numId w:val="9"/>
              </w:numPr>
              <w:ind w:right="162"/>
              <w:rPr>
                <w:rFonts w:ascii="Calibri" w:hAnsi="Calibri" w:cs="Tahoma"/>
                <w:lang w:val="en-IN"/>
              </w:rPr>
            </w:pPr>
            <w:r w:rsidRPr="006215BF">
              <w:rPr>
                <w:rFonts w:ascii="Calibri" w:hAnsi="Calibri" w:cs="Tahoma"/>
                <w:lang w:val="en-IN"/>
              </w:rPr>
              <w:t>SMSA</w:t>
            </w:r>
            <w:r w:rsidR="006215BF">
              <w:rPr>
                <w:rFonts w:ascii="Calibri" w:hAnsi="Calibri" w:cs="Tahoma"/>
                <w:lang w:val="en-IN"/>
              </w:rPr>
              <w:t xml:space="preserve"> </w:t>
            </w:r>
            <w:r w:rsidRPr="006215BF">
              <w:rPr>
                <w:rFonts w:ascii="Calibri" w:hAnsi="Calibri" w:cs="Tahoma"/>
                <w:lang w:val="en-IN"/>
              </w:rPr>
              <w:t>information security shall do assessment for all Information security events and it should be decided if they are to be classified as information security incidents.</w:t>
            </w:r>
          </w:p>
          <w:p w14:paraId="6E31A70B" w14:textId="77777777" w:rsidR="00FF2CEB" w:rsidRPr="006215BF" w:rsidRDefault="00FF2CEB" w:rsidP="006215BF">
            <w:pPr>
              <w:pStyle w:val="ListParagraph"/>
              <w:numPr>
                <w:ilvl w:val="0"/>
                <w:numId w:val="9"/>
              </w:numPr>
              <w:ind w:right="162"/>
              <w:rPr>
                <w:rFonts w:ascii="Calibri" w:hAnsi="Calibri" w:cs="Tahoma"/>
                <w:lang w:val="en-IN"/>
              </w:rPr>
            </w:pPr>
            <w:r w:rsidRPr="006215BF">
              <w:rPr>
                <w:rFonts w:ascii="Calibri" w:hAnsi="Calibri" w:cs="Tahoma"/>
                <w:lang w:val="en-IN"/>
              </w:rPr>
              <w:t>SMSA</w:t>
            </w:r>
            <w:r w:rsidR="006215BF">
              <w:rPr>
                <w:rFonts w:ascii="Calibri" w:hAnsi="Calibri" w:cs="Tahoma"/>
                <w:lang w:val="en-IN"/>
              </w:rPr>
              <w:t xml:space="preserve"> </w:t>
            </w:r>
            <w:r w:rsidRPr="006215BF">
              <w:rPr>
                <w:rFonts w:ascii="Calibri" w:hAnsi="Calibri" w:cs="Tahoma"/>
                <w:lang w:val="en-IN"/>
              </w:rPr>
              <w:t>information security point of contact should assess each information security event using the agreed information security event and incident classification scale and decide whether the event should be classified as an information security incident.</w:t>
            </w:r>
          </w:p>
          <w:p w14:paraId="00453FD7" w14:textId="4F9C49EE" w:rsidR="00782550" w:rsidRDefault="00FF2CEB" w:rsidP="00782550">
            <w:pPr>
              <w:pStyle w:val="ListParagraph"/>
              <w:numPr>
                <w:ilvl w:val="0"/>
                <w:numId w:val="9"/>
              </w:numPr>
              <w:ind w:right="162"/>
              <w:rPr>
                <w:rFonts w:ascii="Calibri" w:hAnsi="Calibri" w:cs="Tahoma"/>
                <w:lang w:val="en-IN"/>
              </w:rPr>
            </w:pPr>
            <w:r w:rsidRPr="006215BF">
              <w:rPr>
                <w:rFonts w:ascii="Calibri" w:hAnsi="Calibri" w:cs="Tahoma"/>
                <w:lang w:val="en-IN"/>
              </w:rPr>
              <w:t>SMSA</w:t>
            </w:r>
            <w:r w:rsidR="006215BF">
              <w:rPr>
                <w:rFonts w:ascii="Calibri" w:hAnsi="Calibri" w:cs="Tahoma"/>
                <w:lang w:val="en-IN"/>
              </w:rPr>
              <w:t xml:space="preserve"> </w:t>
            </w:r>
            <w:r w:rsidRPr="006215BF">
              <w:rPr>
                <w:rFonts w:ascii="Calibri" w:hAnsi="Calibri" w:cs="Tahoma"/>
                <w:lang w:val="en-IN"/>
              </w:rPr>
              <w:t>information security shall do classification and prioritization of incidents to help identifying the impact and extent of an incident.</w:t>
            </w:r>
          </w:p>
          <w:tbl>
            <w:tblPr>
              <w:tblStyle w:val="TableGrid"/>
              <w:tblW w:w="0" w:type="auto"/>
              <w:tblInd w:w="720" w:type="dxa"/>
              <w:tblLook w:val="04A0" w:firstRow="1" w:lastRow="0" w:firstColumn="1" w:lastColumn="0" w:noHBand="0" w:noVBand="1"/>
            </w:tblPr>
            <w:tblGrid>
              <w:gridCol w:w="3841"/>
              <w:gridCol w:w="3853"/>
            </w:tblGrid>
            <w:tr w:rsidR="00782550" w14:paraId="4ED8396B" w14:textId="77777777" w:rsidTr="00782550">
              <w:tc>
                <w:tcPr>
                  <w:tcW w:w="4204" w:type="dxa"/>
                </w:tcPr>
                <w:p w14:paraId="43CD4FA5" w14:textId="224BD5CF" w:rsidR="00782550" w:rsidRPr="00063CBD" w:rsidRDefault="00782550" w:rsidP="00063CBD">
                  <w:pPr>
                    <w:pStyle w:val="ListParagraph"/>
                    <w:ind w:left="0" w:right="162"/>
                    <w:jc w:val="center"/>
                    <w:rPr>
                      <w:rFonts w:ascii="Calibri" w:hAnsi="Calibri" w:cs="Tahoma"/>
                      <w:b/>
                      <w:bCs/>
                    </w:rPr>
                  </w:pPr>
                  <w:r w:rsidRPr="00063CBD">
                    <w:rPr>
                      <w:rFonts w:ascii="Calibri" w:hAnsi="Calibri" w:cs="Tahoma"/>
                      <w:b/>
                      <w:bCs/>
                    </w:rPr>
                    <w:t>Classification Category</w:t>
                  </w:r>
                </w:p>
              </w:tc>
              <w:tc>
                <w:tcPr>
                  <w:tcW w:w="4205" w:type="dxa"/>
                </w:tcPr>
                <w:p w14:paraId="367558B0" w14:textId="734E9504" w:rsidR="00782550" w:rsidRPr="00063CBD" w:rsidRDefault="00782550" w:rsidP="00063CBD">
                  <w:pPr>
                    <w:pStyle w:val="ListParagraph"/>
                    <w:ind w:left="0" w:right="162"/>
                    <w:jc w:val="center"/>
                    <w:rPr>
                      <w:rFonts w:ascii="Calibri" w:hAnsi="Calibri" w:cs="Tahoma"/>
                      <w:b/>
                      <w:bCs/>
                    </w:rPr>
                  </w:pPr>
                  <w:r w:rsidRPr="00063CBD">
                    <w:rPr>
                      <w:rFonts w:ascii="Calibri" w:hAnsi="Calibri" w:cs="Tahoma"/>
                      <w:b/>
                      <w:bCs/>
                    </w:rPr>
                    <w:t>Description</w:t>
                  </w:r>
                </w:p>
              </w:tc>
            </w:tr>
            <w:tr w:rsidR="00782550" w14:paraId="72B6A12B" w14:textId="77777777" w:rsidTr="00782550">
              <w:tc>
                <w:tcPr>
                  <w:tcW w:w="4204" w:type="dxa"/>
                </w:tcPr>
                <w:p w14:paraId="4D194207" w14:textId="77777777" w:rsidR="00782550" w:rsidRDefault="00782550" w:rsidP="00782550">
                  <w:pPr>
                    <w:pStyle w:val="ListParagraph"/>
                    <w:ind w:left="0" w:right="162"/>
                    <w:jc w:val="center"/>
                    <w:rPr>
                      <w:rFonts w:ascii="Calibri" w:hAnsi="Calibri" w:cs="Tahoma"/>
                    </w:rPr>
                  </w:pPr>
                </w:p>
                <w:p w14:paraId="6BE660C1" w14:textId="77777777" w:rsidR="00782550" w:rsidRDefault="00782550" w:rsidP="00782550">
                  <w:pPr>
                    <w:pStyle w:val="ListParagraph"/>
                    <w:ind w:left="0" w:right="162"/>
                    <w:jc w:val="center"/>
                    <w:rPr>
                      <w:rFonts w:ascii="Calibri" w:hAnsi="Calibri" w:cs="Tahoma"/>
                    </w:rPr>
                  </w:pPr>
                </w:p>
                <w:p w14:paraId="1C936E67" w14:textId="77777777" w:rsidR="00782550" w:rsidRDefault="00782550" w:rsidP="00782550">
                  <w:pPr>
                    <w:pStyle w:val="ListParagraph"/>
                    <w:ind w:left="0" w:right="162"/>
                    <w:jc w:val="center"/>
                    <w:rPr>
                      <w:rFonts w:ascii="Calibri" w:hAnsi="Calibri" w:cs="Tahoma"/>
                    </w:rPr>
                  </w:pPr>
                </w:p>
                <w:p w14:paraId="7DFD2BA1" w14:textId="77777777" w:rsidR="00782550" w:rsidRDefault="00782550" w:rsidP="00782550">
                  <w:pPr>
                    <w:pStyle w:val="ListParagraph"/>
                    <w:ind w:left="0" w:right="162"/>
                    <w:jc w:val="center"/>
                    <w:rPr>
                      <w:rFonts w:ascii="Calibri" w:hAnsi="Calibri" w:cs="Tahoma"/>
                    </w:rPr>
                  </w:pPr>
                </w:p>
                <w:p w14:paraId="656DC9A9" w14:textId="77777777" w:rsidR="00782550" w:rsidRDefault="00782550" w:rsidP="00782550">
                  <w:pPr>
                    <w:pStyle w:val="ListParagraph"/>
                    <w:ind w:left="0" w:right="162"/>
                    <w:jc w:val="center"/>
                    <w:rPr>
                      <w:rFonts w:ascii="Calibri" w:hAnsi="Calibri" w:cs="Tahoma"/>
                    </w:rPr>
                  </w:pPr>
                </w:p>
                <w:p w14:paraId="581FA3C6" w14:textId="747FC9CE" w:rsidR="00782550" w:rsidRDefault="00782550" w:rsidP="00782550">
                  <w:pPr>
                    <w:pStyle w:val="ListParagraph"/>
                    <w:ind w:left="0" w:right="162"/>
                    <w:jc w:val="center"/>
                    <w:rPr>
                      <w:rFonts w:ascii="Calibri" w:hAnsi="Calibri" w:cs="Tahoma"/>
                    </w:rPr>
                  </w:pPr>
                  <w:r>
                    <w:rPr>
                      <w:rFonts w:ascii="Calibri" w:hAnsi="Calibri" w:cs="Tahoma"/>
                    </w:rPr>
                    <w:t>Low</w:t>
                  </w:r>
                </w:p>
              </w:tc>
              <w:tc>
                <w:tcPr>
                  <w:tcW w:w="4205" w:type="dxa"/>
                </w:tcPr>
                <w:p w14:paraId="03A7C9A2" w14:textId="572459D4" w:rsidR="00782550" w:rsidRPr="00782550" w:rsidRDefault="00782550" w:rsidP="00782550">
                  <w:pPr>
                    <w:ind w:right="162"/>
                    <w:rPr>
                      <w:rFonts w:ascii="Calibri" w:hAnsi="Calibri" w:cs="Tahoma"/>
                    </w:rPr>
                  </w:pPr>
                  <w:r w:rsidRPr="00782550">
                    <w:rPr>
                      <w:rFonts w:ascii="Calibri" w:hAnsi="Calibri" w:cs="Tahoma"/>
                    </w:rPr>
                    <w:t>Issues meeting this severity are suspicions or odd behaviours. They are not verified and require further investigation. There is no clear indicator that systems have tangible risk and do not require emergency response. Examples include:</w:t>
                  </w:r>
                </w:p>
                <w:p w14:paraId="56EEFF2D" w14:textId="77777777" w:rsidR="00782550" w:rsidRPr="00782550" w:rsidRDefault="00782550" w:rsidP="00782550">
                  <w:pPr>
                    <w:ind w:right="162"/>
                    <w:rPr>
                      <w:rFonts w:ascii="Calibri" w:hAnsi="Calibri" w:cs="Tahoma"/>
                    </w:rPr>
                  </w:pPr>
                  <w:r w:rsidRPr="00782550">
                    <w:rPr>
                      <w:rFonts w:ascii="Calibri" w:hAnsi="Calibri" w:cs="Tahoma"/>
                    </w:rPr>
                    <w:t>Lost/stolen laptop with disk encryption</w:t>
                  </w:r>
                </w:p>
                <w:p w14:paraId="29C04B73" w14:textId="77777777" w:rsidR="00782550" w:rsidRPr="00782550" w:rsidRDefault="00782550" w:rsidP="00782550">
                  <w:pPr>
                    <w:ind w:right="162"/>
                    <w:rPr>
                      <w:rFonts w:ascii="Calibri" w:hAnsi="Calibri" w:cs="Tahoma"/>
                    </w:rPr>
                  </w:pPr>
                  <w:r w:rsidRPr="00782550">
                    <w:rPr>
                      <w:rFonts w:ascii="Calibri" w:hAnsi="Calibri" w:cs="Tahoma"/>
                    </w:rPr>
                    <w:t>Suspicious emails</w:t>
                  </w:r>
                </w:p>
                <w:p w14:paraId="511B360B" w14:textId="77777777" w:rsidR="00782550" w:rsidRPr="00782550" w:rsidRDefault="00782550" w:rsidP="00782550">
                  <w:pPr>
                    <w:ind w:right="162"/>
                    <w:rPr>
                      <w:rFonts w:ascii="Calibri" w:hAnsi="Calibri" w:cs="Tahoma"/>
                    </w:rPr>
                  </w:pPr>
                  <w:r w:rsidRPr="00782550">
                    <w:rPr>
                      <w:rFonts w:ascii="Calibri" w:hAnsi="Calibri" w:cs="Tahoma"/>
                    </w:rPr>
                    <w:t>Outages</w:t>
                  </w:r>
                </w:p>
                <w:p w14:paraId="50DABDF8" w14:textId="1BF537D6" w:rsidR="00782550" w:rsidRDefault="00782550" w:rsidP="00782550">
                  <w:pPr>
                    <w:pStyle w:val="ListParagraph"/>
                    <w:ind w:left="0" w:right="162"/>
                    <w:rPr>
                      <w:rFonts w:ascii="Calibri" w:hAnsi="Calibri" w:cs="Tahoma"/>
                    </w:rPr>
                  </w:pPr>
                  <w:r w:rsidRPr="00782550">
                    <w:rPr>
                      <w:rFonts w:ascii="Calibri" w:hAnsi="Calibri" w:cs="Tahoma"/>
                    </w:rPr>
                    <w:t>Strange activity on a laptop</w:t>
                  </w:r>
                </w:p>
              </w:tc>
            </w:tr>
            <w:tr w:rsidR="00782550" w14:paraId="020C044F" w14:textId="77777777" w:rsidTr="00782550">
              <w:tc>
                <w:tcPr>
                  <w:tcW w:w="4204" w:type="dxa"/>
                </w:tcPr>
                <w:p w14:paraId="1C3FF47E" w14:textId="77777777" w:rsidR="00782550" w:rsidRDefault="00782550" w:rsidP="00782550">
                  <w:pPr>
                    <w:pStyle w:val="ListParagraph"/>
                    <w:ind w:left="0" w:right="162"/>
                    <w:jc w:val="center"/>
                    <w:rPr>
                      <w:rFonts w:ascii="Calibri" w:hAnsi="Calibri" w:cs="Tahoma"/>
                    </w:rPr>
                  </w:pPr>
                </w:p>
                <w:p w14:paraId="6351D2CC" w14:textId="4EEAAEC7" w:rsidR="00782550" w:rsidRDefault="00782550" w:rsidP="00782550">
                  <w:pPr>
                    <w:pStyle w:val="ListParagraph"/>
                    <w:ind w:left="0" w:right="162"/>
                    <w:jc w:val="center"/>
                    <w:rPr>
                      <w:rFonts w:ascii="Calibri" w:hAnsi="Calibri" w:cs="Tahoma"/>
                    </w:rPr>
                  </w:pPr>
                  <w:r>
                    <w:rPr>
                      <w:rFonts w:ascii="Calibri" w:hAnsi="Calibri" w:cs="Tahoma"/>
                    </w:rPr>
                    <w:t>Medium</w:t>
                  </w:r>
                </w:p>
              </w:tc>
              <w:tc>
                <w:tcPr>
                  <w:tcW w:w="4205" w:type="dxa"/>
                </w:tcPr>
                <w:p w14:paraId="7F628209" w14:textId="77777777" w:rsidR="00782550" w:rsidRPr="00782550" w:rsidRDefault="00782550" w:rsidP="00782550">
                  <w:pPr>
                    <w:ind w:right="162"/>
                    <w:rPr>
                      <w:rFonts w:ascii="Calibri" w:hAnsi="Calibri" w:cs="Tahoma"/>
                    </w:rPr>
                  </w:pPr>
                  <w:r w:rsidRPr="00782550">
                    <w:rPr>
                      <w:rFonts w:ascii="Calibri" w:hAnsi="Calibri" w:cs="Tahoma"/>
                    </w:rPr>
                    <w:t xml:space="preserve">Issues relate to problems where an adversary or active exploitation hasn’t been proven yet but is likely to </w:t>
                  </w:r>
                  <w:r w:rsidRPr="00782550">
                    <w:rPr>
                      <w:rFonts w:ascii="Calibri" w:hAnsi="Calibri" w:cs="Tahoma"/>
                    </w:rPr>
                    <w:lastRenderedPageBreak/>
                    <w:t>happen. Examples include:</w:t>
                  </w:r>
                </w:p>
                <w:p w14:paraId="01238BFC" w14:textId="77777777" w:rsidR="00782550" w:rsidRPr="00782550" w:rsidRDefault="00782550" w:rsidP="00782550">
                  <w:pPr>
                    <w:ind w:right="162"/>
                    <w:rPr>
                      <w:rFonts w:ascii="Calibri" w:hAnsi="Calibri" w:cs="Tahoma"/>
                    </w:rPr>
                  </w:pPr>
                  <w:r w:rsidRPr="00782550">
                    <w:rPr>
                      <w:rFonts w:ascii="Calibri" w:hAnsi="Calibri" w:cs="Tahoma"/>
                    </w:rPr>
                    <w:t>Lost/stolen laptop without encryption</w:t>
                  </w:r>
                </w:p>
                <w:p w14:paraId="4BBDE7A3" w14:textId="77777777" w:rsidR="00782550" w:rsidRPr="00782550" w:rsidRDefault="00782550" w:rsidP="00782550">
                  <w:pPr>
                    <w:ind w:right="162"/>
                    <w:rPr>
                      <w:rFonts w:ascii="Calibri" w:hAnsi="Calibri" w:cs="Tahoma"/>
                    </w:rPr>
                  </w:pPr>
                  <w:r w:rsidRPr="00782550">
                    <w:rPr>
                      <w:rFonts w:ascii="Calibri" w:hAnsi="Calibri" w:cs="Tahoma"/>
                    </w:rPr>
                    <w:t>Vulnerabilities with direct risk of exploitation</w:t>
                  </w:r>
                </w:p>
                <w:p w14:paraId="4F6C2EAF" w14:textId="77777777" w:rsidR="00782550" w:rsidRPr="00782550" w:rsidRDefault="00782550" w:rsidP="00782550">
                  <w:pPr>
                    <w:ind w:right="162"/>
                    <w:rPr>
                      <w:rFonts w:ascii="Calibri" w:hAnsi="Calibri" w:cs="Tahoma"/>
                    </w:rPr>
                  </w:pPr>
                  <w:r w:rsidRPr="00782550">
                    <w:rPr>
                      <w:rFonts w:ascii="Calibri" w:hAnsi="Calibri" w:cs="Tahoma"/>
                    </w:rPr>
                    <w:t>Threats with risk or adversarial persistence on our systems (e.g., backdoors, malware)</w:t>
                  </w:r>
                </w:p>
                <w:p w14:paraId="5510D6C4" w14:textId="0447C60C" w:rsidR="00782550" w:rsidRDefault="00782550" w:rsidP="00782550">
                  <w:pPr>
                    <w:pStyle w:val="ListParagraph"/>
                    <w:ind w:left="0" w:right="162"/>
                    <w:rPr>
                      <w:rFonts w:ascii="Calibri" w:hAnsi="Calibri" w:cs="Tahoma"/>
                    </w:rPr>
                  </w:pPr>
                  <w:r w:rsidRPr="00782550">
                    <w:rPr>
                      <w:rFonts w:ascii="Calibri" w:hAnsi="Calibri" w:cs="Tahoma"/>
                    </w:rPr>
                    <w:t>Malicious access to business data (e.g., passwords, vulnerability data, payments information)</w:t>
                  </w:r>
                </w:p>
              </w:tc>
            </w:tr>
            <w:tr w:rsidR="00782550" w14:paraId="233E31B6" w14:textId="77777777" w:rsidTr="00782550">
              <w:tc>
                <w:tcPr>
                  <w:tcW w:w="4204" w:type="dxa"/>
                </w:tcPr>
                <w:p w14:paraId="1BE49FC1" w14:textId="77777777" w:rsidR="00782550" w:rsidRDefault="00782550" w:rsidP="00782550">
                  <w:pPr>
                    <w:pStyle w:val="ListParagraph"/>
                    <w:ind w:left="0" w:right="162"/>
                    <w:jc w:val="center"/>
                    <w:rPr>
                      <w:rFonts w:ascii="Calibri" w:hAnsi="Calibri" w:cs="Tahoma"/>
                    </w:rPr>
                  </w:pPr>
                </w:p>
                <w:p w14:paraId="7C0CFAFE" w14:textId="77777777" w:rsidR="00782550" w:rsidRDefault="00782550" w:rsidP="00782550">
                  <w:pPr>
                    <w:pStyle w:val="ListParagraph"/>
                    <w:ind w:left="0" w:right="162"/>
                    <w:jc w:val="center"/>
                    <w:rPr>
                      <w:rFonts w:ascii="Calibri" w:hAnsi="Calibri" w:cs="Tahoma"/>
                    </w:rPr>
                  </w:pPr>
                </w:p>
                <w:p w14:paraId="1F166AAA" w14:textId="77777777" w:rsidR="004C3A8D" w:rsidRDefault="004C3A8D" w:rsidP="00782550">
                  <w:pPr>
                    <w:pStyle w:val="ListParagraph"/>
                    <w:ind w:left="0" w:right="162"/>
                    <w:jc w:val="center"/>
                    <w:rPr>
                      <w:rFonts w:ascii="Calibri" w:hAnsi="Calibri" w:cs="Tahoma"/>
                    </w:rPr>
                  </w:pPr>
                </w:p>
                <w:p w14:paraId="321DAD30" w14:textId="77777777" w:rsidR="004C3A8D" w:rsidRDefault="004C3A8D" w:rsidP="00782550">
                  <w:pPr>
                    <w:pStyle w:val="ListParagraph"/>
                    <w:ind w:left="0" w:right="162"/>
                    <w:jc w:val="center"/>
                    <w:rPr>
                      <w:rFonts w:ascii="Calibri" w:hAnsi="Calibri" w:cs="Tahoma"/>
                    </w:rPr>
                  </w:pPr>
                </w:p>
                <w:p w14:paraId="3E7A9B50" w14:textId="77777777" w:rsidR="004C3A8D" w:rsidRDefault="004C3A8D" w:rsidP="00782550">
                  <w:pPr>
                    <w:pStyle w:val="ListParagraph"/>
                    <w:ind w:left="0" w:right="162"/>
                    <w:jc w:val="center"/>
                    <w:rPr>
                      <w:rFonts w:ascii="Calibri" w:hAnsi="Calibri" w:cs="Tahoma"/>
                    </w:rPr>
                  </w:pPr>
                </w:p>
                <w:p w14:paraId="5997ED01" w14:textId="77777777" w:rsidR="004C3A8D" w:rsidRDefault="004C3A8D" w:rsidP="00782550">
                  <w:pPr>
                    <w:pStyle w:val="ListParagraph"/>
                    <w:ind w:left="0" w:right="162"/>
                    <w:jc w:val="center"/>
                    <w:rPr>
                      <w:rFonts w:ascii="Calibri" w:hAnsi="Calibri" w:cs="Tahoma"/>
                    </w:rPr>
                  </w:pPr>
                </w:p>
                <w:p w14:paraId="33CA691D" w14:textId="77777777" w:rsidR="004C3A8D" w:rsidRDefault="004C3A8D" w:rsidP="00782550">
                  <w:pPr>
                    <w:pStyle w:val="ListParagraph"/>
                    <w:ind w:left="0" w:right="162"/>
                    <w:jc w:val="center"/>
                    <w:rPr>
                      <w:rFonts w:ascii="Calibri" w:hAnsi="Calibri" w:cs="Tahoma"/>
                    </w:rPr>
                  </w:pPr>
                </w:p>
                <w:p w14:paraId="220DFBC8" w14:textId="346C24BE" w:rsidR="00782550" w:rsidRDefault="00782550" w:rsidP="00782550">
                  <w:pPr>
                    <w:pStyle w:val="ListParagraph"/>
                    <w:ind w:left="0" w:right="162"/>
                    <w:jc w:val="center"/>
                    <w:rPr>
                      <w:rFonts w:ascii="Calibri" w:hAnsi="Calibri" w:cs="Tahoma"/>
                    </w:rPr>
                  </w:pPr>
                  <w:r>
                    <w:rPr>
                      <w:rFonts w:ascii="Calibri" w:hAnsi="Calibri" w:cs="Tahoma"/>
                    </w:rPr>
                    <w:t>High</w:t>
                  </w:r>
                </w:p>
              </w:tc>
              <w:tc>
                <w:tcPr>
                  <w:tcW w:w="4205" w:type="dxa"/>
                </w:tcPr>
                <w:p w14:paraId="2E78C694" w14:textId="7D9BDD1A" w:rsidR="00782550" w:rsidRDefault="00782550" w:rsidP="00782550">
                  <w:pPr>
                    <w:pStyle w:val="ListParagraph"/>
                    <w:ind w:left="0" w:right="162"/>
                    <w:rPr>
                      <w:rFonts w:ascii="Calibri" w:hAnsi="Calibri" w:cs="Tahoma"/>
                    </w:rPr>
                  </w:pPr>
                  <w:r w:rsidRPr="00782550">
                    <w:rPr>
                      <w:rFonts w:ascii="Calibri" w:hAnsi="Calibri" w:cs="Tahoma"/>
                    </w:rPr>
                    <w:t xml:space="preserve">issues relate to actively exploited risks and </w:t>
                  </w:r>
                  <w:proofErr w:type="gramStart"/>
                  <w:r w:rsidRPr="00782550">
                    <w:rPr>
                      <w:rFonts w:ascii="Calibri" w:hAnsi="Calibri" w:cs="Tahoma"/>
                    </w:rPr>
                    <w:t>involve</w:t>
                  </w:r>
                  <w:r w:rsidR="004C3A8D">
                    <w:rPr>
                      <w:rFonts w:ascii="Calibri" w:hAnsi="Calibri" w:cs="Tahoma"/>
                    </w:rPr>
                    <w:t>s</w:t>
                  </w:r>
                  <w:proofErr w:type="gramEnd"/>
                  <w:r w:rsidR="004C3A8D">
                    <w:rPr>
                      <w:rFonts w:ascii="Calibri" w:hAnsi="Calibri" w:cs="Tahoma"/>
                    </w:rPr>
                    <w:t xml:space="preserve"> </w:t>
                  </w:r>
                  <w:r w:rsidRPr="00782550">
                    <w:rPr>
                      <w:rFonts w:ascii="Calibri" w:hAnsi="Calibri" w:cs="Tahoma"/>
                    </w:rPr>
                    <w:t>a malicious actor or threats that put any individual</w:t>
                  </w:r>
                  <w:r w:rsidR="004C3A8D">
                    <w:rPr>
                      <w:rFonts w:ascii="Calibri" w:hAnsi="Calibri" w:cs="Tahoma"/>
                    </w:rPr>
                    <w:t xml:space="preserve"> or system</w:t>
                  </w:r>
                  <w:r w:rsidRPr="00782550">
                    <w:rPr>
                      <w:rFonts w:ascii="Calibri" w:hAnsi="Calibri" w:cs="Tahoma"/>
                    </w:rPr>
                    <w:t xml:space="preserve"> at risk of physical harm. Identification of active exploitation is required to meet this severity category.</w:t>
                  </w:r>
                  <w:r w:rsidR="004C3A8D">
                    <w:rPr>
                      <w:rFonts w:ascii="Calibri" w:hAnsi="Calibri" w:cs="Tahoma"/>
                    </w:rPr>
                    <w:t xml:space="preserve"> Example:</w:t>
                  </w:r>
                </w:p>
                <w:p w14:paraId="0C5AABD1" w14:textId="77777777" w:rsidR="004C3A8D" w:rsidRPr="004C3A8D" w:rsidRDefault="004C3A8D" w:rsidP="004C3A8D">
                  <w:pPr>
                    <w:ind w:right="162"/>
                    <w:rPr>
                      <w:rFonts w:ascii="Calibri" w:hAnsi="Calibri" w:cs="Tahoma"/>
                    </w:rPr>
                  </w:pPr>
                  <w:r w:rsidRPr="004C3A8D">
                    <w:rPr>
                      <w:rFonts w:ascii="Calibri" w:hAnsi="Calibri" w:cs="Tahoma"/>
                    </w:rPr>
                    <w:t>Active data breaches with unauthorized access and exfiltration.</w:t>
                  </w:r>
                </w:p>
                <w:p w14:paraId="3A899DA0" w14:textId="77777777" w:rsidR="004C3A8D" w:rsidRPr="004C3A8D" w:rsidRDefault="004C3A8D" w:rsidP="004C3A8D">
                  <w:pPr>
                    <w:ind w:right="162"/>
                    <w:rPr>
                      <w:rFonts w:ascii="Calibri" w:hAnsi="Calibri" w:cs="Tahoma"/>
                    </w:rPr>
                  </w:pPr>
                  <w:r w:rsidRPr="004C3A8D">
                    <w:rPr>
                      <w:rFonts w:ascii="Calibri" w:hAnsi="Calibri" w:cs="Tahoma"/>
                    </w:rPr>
                    <w:t>Ransomware attacks locking systems and demanding payment.</w:t>
                  </w:r>
                </w:p>
                <w:p w14:paraId="214CBC3B" w14:textId="77777777" w:rsidR="004C3A8D" w:rsidRPr="004C3A8D" w:rsidRDefault="004C3A8D" w:rsidP="004C3A8D">
                  <w:pPr>
                    <w:ind w:right="162"/>
                    <w:rPr>
                      <w:rFonts w:ascii="Calibri" w:hAnsi="Calibri" w:cs="Tahoma"/>
                    </w:rPr>
                  </w:pPr>
                  <w:r w:rsidRPr="004C3A8D">
                    <w:rPr>
                      <w:rFonts w:ascii="Calibri" w:hAnsi="Calibri" w:cs="Tahoma"/>
                    </w:rPr>
                    <w:t>Compromised admin accounts used for unauthorized access.</w:t>
                  </w:r>
                </w:p>
                <w:p w14:paraId="38840C89" w14:textId="77777777" w:rsidR="004C3A8D" w:rsidRPr="004C3A8D" w:rsidRDefault="004C3A8D" w:rsidP="004C3A8D">
                  <w:pPr>
                    <w:ind w:right="162"/>
                    <w:rPr>
                      <w:rFonts w:ascii="Calibri" w:hAnsi="Calibri" w:cs="Tahoma"/>
                    </w:rPr>
                  </w:pPr>
                  <w:r w:rsidRPr="004C3A8D">
                    <w:rPr>
                      <w:rFonts w:ascii="Calibri" w:hAnsi="Calibri" w:cs="Tahoma"/>
                    </w:rPr>
                    <w:t>Physical breaches risking critical infrastructure or personnel.</w:t>
                  </w:r>
                </w:p>
                <w:p w14:paraId="3AFA5DEE" w14:textId="77777777" w:rsidR="004C3A8D" w:rsidRPr="004C3A8D" w:rsidRDefault="004C3A8D" w:rsidP="004C3A8D">
                  <w:pPr>
                    <w:ind w:right="162"/>
                    <w:rPr>
                      <w:rFonts w:ascii="Calibri" w:hAnsi="Calibri" w:cs="Tahoma"/>
                    </w:rPr>
                  </w:pPr>
                  <w:r w:rsidRPr="004C3A8D">
                    <w:rPr>
                      <w:rFonts w:ascii="Calibri" w:hAnsi="Calibri" w:cs="Tahoma"/>
                    </w:rPr>
                    <w:t>DDoS attacks causing severe operational disruptions.</w:t>
                  </w:r>
                </w:p>
                <w:p w14:paraId="0D80DA2A" w14:textId="3E00BE48" w:rsidR="004C3A8D" w:rsidRDefault="004C3A8D" w:rsidP="00063CBD">
                  <w:pPr>
                    <w:ind w:right="162"/>
                    <w:rPr>
                      <w:rFonts w:ascii="Calibri" w:hAnsi="Calibri" w:cs="Tahoma"/>
                    </w:rPr>
                  </w:pPr>
                  <w:r w:rsidRPr="004C3A8D">
                    <w:rPr>
                      <w:rFonts w:ascii="Calibri" w:hAnsi="Calibri" w:cs="Tahoma"/>
                    </w:rPr>
                    <w:t>Threats of physical harm due to tampered devices or attacks.</w:t>
                  </w:r>
                </w:p>
              </w:tc>
            </w:tr>
          </w:tbl>
          <w:p w14:paraId="0D03FCF4" w14:textId="77777777" w:rsidR="00782550" w:rsidRPr="00782550" w:rsidRDefault="00782550" w:rsidP="00782550">
            <w:pPr>
              <w:pStyle w:val="ListParagraph"/>
              <w:ind w:right="162"/>
              <w:rPr>
                <w:rFonts w:ascii="Calibri" w:hAnsi="Calibri" w:cs="Tahoma"/>
                <w:lang w:val="en-IN"/>
              </w:rPr>
            </w:pPr>
          </w:p>
          <w:p w14:paraId="5E7DAF73" w14:textId="77777777" w:rsidR="006215BF" w:rsidRPr="006215BF" w:rsidRDefault="006215BF" w:rsidP="006215BF">
            <w:pPr>
              <w:ind w:right="162"/>
              <w:rPr>
                <w:rFonts w:ascii="Calibri" w:hAnsi="Calibri" w:cs="Tahoma"/>
                <w:b/>
                <w:bCs/>
                <w:lang w:val="en-IN"/>
              </w:rPr>
            </w:pPr>
            <w:r>
              <w:rPr>
                <w:rFonts w:ascii="Calibri" w:hAnsi="Calibri" w:cs="Tahoma"/>
                <w:b/>
                <w:bCs/>
                <w:lang w:val="en-IN"/>
              </w:rPr>
              <w:t xml:space="preserve">1.1.5 </w:t>
            </w:r>
            <w:r w:rsidRPr="006215BF">
              <w:rPr>
                <w:rFonts w:ascii="Calibri" w:hAnsi="Calibri" w:cs="Tahoma"/>
                <w:b/>
                <w:bCs/>
                <w:lang w:val="en-IN"/>
              </w:rPr>
              <w:t>Response to information security incidents</w:t>
            </w:r>
          </w:p>
          <w:p w14:paraId="16C0A7F2" w14:textId="77777777" w:rsidR="006215BF" w:rsidRPr="006215BF" w:rsidRDefault="006215BF" w:rsidP="006215BF">
            <w:pPr>
              <w:pStyle w:val="ListParagraph"/>
              <w:numPr>
                <w:ilvl w:val="0"/>
                <w:numId w:val="9"/>
              </w:numPr>
              <w:ind w:right="162"/>
              <w:rPr>
                <w:rFonts w:ascii="Calibri" w:hAnsi="Calibri" w:cs="Tahoma"/>
                <w:lang w:val="en-IN"/>
              </w:rPr>
            </w:pPr>
            <w:r w:rsidRPr="006215BF">
              <w:rPr>
                <w:rFonts w:ascii="Calibri" w:hAnsi="Calibri" w:cs="Tahoma"/>
                <w:lang w:val="en-IN"/>
              </w:rPr>
              <w:t>SMSA Information Security response to incidents shall include the following:</w:t>
            </w:r>
          </w:p>
          <w:p w14:paraId="77F7BF3C" w14:textId="77777777" w:rsidR="006215BF" w:rsidRPr="006215BF" w:rsidRDefault="006215BF" w:rsidP="006215BF">
            <w:pPr>
              <w:pStyle w:val="ListParagraph"/>
              <w:numPr>
                <w:ilvl w:val="0"/>
                <w:numId w:val="25"/>
              </w:numPr>
              <w:ind w:right="162"/>
              <w:jc w:val="both"/>
              <w:rPr>
                <w:rFonts w:ascii="Calibri" w:hAnsi="Calibri" w:cs="Tahoma"/>
                <w:lang w:val="en-IN"/>
              </w:rPr>
            </w:pPr>
            <w:r w:rsidRPr="006215BF">
              <w:rPr>
                <w:rFonts w:ascii="Calibri" w:hAnsi="Calibri" w:cs="Tahoma"/>
                <w:lang w:val="en-IN"/>
              </w:rPr>
              <w:t>Collecting evidence as soon as possible after the occurrence</w:t>
            </w:r>
          </w:p>
          <w:p w14:paraId="76705635" w14:textId="77777777" w:rsidR="006215BF" w:rsidRPr="006215BF" w:rsidRDefault="006215BF" w:rsidP="006215BF">
            <w:pPr>
              <w:pStyle w:val="ListParagraph"/>
              <w:numPr>
                <w:ilvl w:val="0"/>
                <w:numId w:val="25"/>
              </w:numPr>
              <w:ind w:right="162"/>
              <w:jc w:val="both"/>
              <w:rPr>
                <w:rFonts w:ascii="Calibri" w:hAnsi="Calibri" w:cs="Tahoma"/>
                <w:lang w:val="en-IN"/>
              </w:rPr>
            </w:pPr>
            <w:r w:rsidRPr="006215BF">
              <w:rPr>
                <w:rFonts w:ascii="Calibri" w:hAnsi="Calibri" w:cs="Tahoma"/>
                <w:lang w:val="en-IN"/>
              </w:rPr>
              <w:t>Conducting information security forensics analysis, as required</w:t>
            </w:r>
          </w:p>
          <w:p w14:paraId="4EA8215E" w14:textId="77777777" w:rsidR="006215BF" w:rsidRPr="006215BF" w:rsidRDefault="006215BF" w:rsidP="006215BF">
            <w:pPr>
              <w:pStyle w:val="ListParagraph"/>
              <w:numPr>
                <w:ilvl w:val="0"/>
                <w:numId w:val="25"/>
              </w:numPr>
              <w:ind w:right="162"/>
              <w:jc w:val="both"/>
              <w:rPr>
                <w:rFonts w:ascii="Calibri" w:hAnsi="Calibri" w:cs="Tahoma"/>
                <w:lang w:val="en-IN"/>
              </w:rPr>
            </w:pPr>
            <w:r w:rsidRPr="006215BF">
              <w:rPr>
                <w:rFonts w:ascii="Calibri" w:hAnsi="Calibri" w:cs="Tahoma"/>
                <w:lang w:val="en-IN"/>
              </w:rPr>
              <w:t>Escalation, as required</w:t>
            </w:r>
          </w:p>
          <w:p w14:paraId="23150591" w14:textId="77777777" w:rsidR="006215BF" w:rsidRPr="006215BF" w:rsidRDefault="006215BF" w:rsidP="006215BF">
            <w:pPr>
              <w:pStyle w:val="ListParagraph"/>
              <w:numPr>
                <w:ilvl w:val="0"/>
                <w:numId w:val="25"/>
              </w:numPr>
              <w:ind w:right="162"/>
              <w:jc w:val="both"/>
              <w:rPr>
                <w:rFonts w:ascii="Calibri" w:hAnsi="Calibri" w:cs="Tahoma"/>
                <w:lang w:val="en-IN"/>
              </w:rPr>
            </w:pPr>
            <w:r w:rsidRPr="006215BF">
              <w:rPr>
                <w:rFonts w:ascii="Calibri" w:hAnsi="Calibri" w:cs="Tahoma"/>
                <w:lang w:val="en-IN"/>
              </w:rPr>
              <w:t>Ensuring that all involved response activities are properly logged for later analysis</w:t>
            </w:r>
          </w:p>
          <w:p w14:paraId="78834D29" w14:textId="77777777" w:rsidR="006215BF" w:rsidRPr="006215BF" w:rsidRDefault="006215BF" w:rsidP="006215BF">
            <w:pPr>
              <w:pStyle w:val="ListParagraph"/>
              <w:numPr>
                <w:ilvl w:val="0"/>
                <w:numId w:val="25"/>
              </w:numPr>
              <w:ind w:right="162"/>
              <w:jc w:val="both"/>
              <w:rPr>
                <w:rFonts w:ascii="Calibri" w:hAnsi="Calibri" w:cs="Tahoma"/>
                <w:lang w:val="en-IN"/>
              </w:rPr>
            </w:pPr>
            <w:r w:rsidRPr="006215BF">
              <w:rPr>
                <w:rFonts w:ascii="Calibri" w:hAnsi="Calibri" w:cs="Tahoma"/>
                <w:lang w:val="en-IN"/>
              </w:rPr>
              <w:t>Communicating the existence of the information security incident or any relevant details thereof to MANAGING DIRECTOR</w:t>
            </w:r>
          </w:p>
          <w:p w14:paraId="603414A7" w14:textId="77777777" w:rsidR="006215BF" w:rsidRPr="006215BF" w:rsidRDefault="006215BF" w:rsidP="006215BF">
            <w:pPr>
              <w:pStyle w:val="ListParagraph"/>
              <w:numPr>
                <w:ilvl w:val="0"/>
                <w:numId w:val="25"/>
              </w:numPr>
              <w:ind w:right="162"/>
              <w:jc w:val="both"/>
              <w:rPr>
                <w:rFonts w:ascii="Calibri" w:hAnsi="Calibri" w:cs="Tahoma"/>
                <w:lang w:val="en-IN"/>
              </w:rPr>
            </w:pPr>
            <w:r w:rsidRPr="006215BF">
              <w:rPr>
                <w:rFonts w:ascii="Calibri" w:hAnsi="Calibri" w:cs="Tahoma"/>
                <w:lang w:val="en-IN"/>
              </w:rPr>
              <w:t>Dealing with information security weakness</w:t>
            </w:r>
          </w:p>
          <w:p w14:paraId="03FA6527" w14:textId="61405A49" w:rsidR="00FF2CEB" w:rsidRDefault="006215BF" w:rsidP="00FF2CEB">
            <w:pPr>
              <w:pStyle w:val="ListParagraph"/>
              <w:numPr>
                <w:ilvl w:val="0"/>
                <w:numId w:val="25"/>
              </w:numPr>
              <w:ind w:right="162"/>
              <w:jc w:val="both"/>
              <w:rPr>
                <w:rFonts w:ascii="Calibri" w:hAnsi="Calibri" w:cs="Tahoma"/>
                <w:lang w:val="en-IN"/>
              </w:rPr>
            </w:pPr>
            <w:r w:rsidRPr="006215BF">
              <w:rPr>
                <w:rFonts w:ascii="Calibri" w:hAnsi="Calibri" w:cs="Tahoma"/>
                <w:lang w:val="en-IN"/>
              </w:rPr>
              <w:t>Once the incident has been successfully dealt with, formally closing and recording it. </w:t>
            </w:r>
          </w:p>
          <w:p w14:paraId="69D3E21C" w14:textId="77777777" w:rsidR="004C3A8D" w:rsidRPr="00AB52A6" w:rsidRDefault="004C3A8D" w:rsidP="004C3A8D">
            <w:pPr>
              <w:pStyle w:val="ListParagraph"/>
              <w:ind w:left="1440" w:right="162"/>
              <w:jc w:val="both"/>
              <w:rPr>
                <w:rFonts w:ascii="Calibri" w:hAnsi="Calibri" w:cs="Tahoma"/>
                <w:lang w:val="en-IN"/>
              </w:rPr>
            </w:pPr>
          </w:p>
          <w:p w14:paraId="38074A6E" w14:textId="77777777" w:rsidR="006215BF" w:rsidRPr="006215BF" w:rsidRDefault="006215BF" w:rsidP="006215BF">
            <w:pPr>
              <w:ind w:right="162"/>
              <w:rPr>
                <w:rFonts w:ascii="Calibri" w:hAnsi="Calibri" w:cs="Tahoma"/>
                <w:b/>
                <w:bCs/>
                <w:lang w:val="en-IN"/>
              </w:rPr>
            </w:pPr>
            <w:r>
              <w:rPr>
                <w:rFonts w:ascii="Calibri" w:hAnsi="Calibri" w:cs="Tahoma"/>
                <w:b/>
                <w:bCs/>
                <w:lang w:val="en-IN"/>
              </w:rPr>
              <w:lastRenderedPageBreak/>
              <w:t xml:space="preserve">1.1.6 </w:t>
            </w:r>
            <w:r w:rsidRPr="006215BF">
              <w:rPr>
                <w:rFonts w:ascii="Calibri" w:hAnsi="Calibri" w:cs="Tahoma"/>
                <w:b/>
                <w:bCs/>
                <w:lang w:val="en-IN"/>
              </w:rPr>
              <w:t>Learning from information security incidents</w:t>
            </w:r>
          </w:p>
          <w:p w14:paraId="0ABF3FD2" w14:textId="77777777" w:rsidR="006215BF" w:rsidRPr="006215BF" w:rsidRDefault="006215BF" w:rsidP="006215BF">
            <w:pPr>
              <w:pStyle w:val="ListParagraph"/>
              <w:numPr>
                <w:ilvl w:val="0"/>
                <w:numId w:val="9"/>
              </w:numPr>
              <w:ind w:right="162"/>
              <w:rPr>
                <w:rFonts w:ascii="Calibri" w:hAnsi="Calibri" w:cs="Tahoma"/>
                <w:lang w:val="en-IN"/>
              </w:rPr>
            </w:pPr>
            <w:r w:rsidRPr="006215BF">
              <w:rPr>
                <w:rFonts w:ascii="Calibri" w:hAnsi="Calibri" w:cs="Tahoma"/>
                <w:lang w:val="en-IN"/>
              </w:rPr>
              <w:t>SMSA</w:t>
            </w:r>
            <w:r>
              <w:rPr>
                <w:rFonts w:ascii="Calibri" w:hAnsi="Calibri" w:cs="Tahoma"/>
                <w:lang w:val="en-IN"/>
              </w:rPr>
              <w:t xml:space="preserve"> </w:t>
            </w:r>
            <w:r w:rsidRPr="006215BF">
              <w:rPr>
                <w:rFonts w:ascii="Calibri" w:hAnsi="Calibri" w:cs="Tahoma"/>
                <w:lang w:val="en-IN"/>
              </w:rPr>
              <w:t>information security Knowledge gained from analysing and resolving information security incidents should be used to reduce the likelihood or impact of future incidents.</w:t>
            </w:r>
          </w:p>
          <w:p w14:paraId="6600174E" w14:textId="77777777" w:rsidR="006215BF" w:rsidRPr="006215BF" w:rsidRDefault="006215BF" w:rsidP="006215BF">
            <w:pPr>
              <w:pStyle w:val="ListParagraph"/>
              <w:numPr>
                <w:ilvl w:val="0"/>
                <w:numId w:val="9"/>
              </w:numPr>
              <w:ind w:right="162"/>
              <w:rPr>
                <w:rFonts w:ascii="Calibri" w:hAnsi="Calibri" w:cs="Tahoma"/>
                <w:lang w:val="en-IN"/>
              </w:rPr>
            </w:pPr>
            <w:r w:rsidRPr="006215BF">
              <w:rPr>
                <w:rFonts w:ascii="Calibri" w:hAnsi="Calibri" w:cs="Tahoma"/>
                <w:lang w:val="en-IN"/>
              </w:rPr>
              <w:t>There should be mechanisms in place to enable the types, volumes and costs of information security incidents to be quantified and monitored.</w:t>
            </w:r>
          </w:p>
          <w:p w14:paraId="2C8AF822" w14:textId="77777777" w:rsidR="006215BF" w:rsidRPr="006215BF" w:rsidRDefault="006215BF" w:rsidP="006215BF">
            <w:pPr>
              <w:pStyle w:val="ListParagraph"/>
              <w:numPr>
                <w:ilvl w:val="0"/>
                <w:numId w:val="9"/>
              </w:numPr>
              <w:ind w:right="162"/>
              <w:rPr>
                <w:rFonts w:ascii="Calibri" w:hAnsi="Calibri" w:cs="Tahoma"/>
                <w:lang w:val="en-IN"/>
              </w:rPr>
            </w:pPr>
            <w:r w:rsidRPr="006215BF">
              <w:rPr>
                <w:rFonts w:ascii="Calibri" w:hAnsi="Calibri" w:cs="Tahoma"/>
                <w:lang w:val="en-IN"/>
              </w:rPr>
              <w:t>The information gained from the evaluation of information security incidents should be used to identify recurring or high impact incidents.</w:t>
            </w:r>
          </w:p>
          <w:p w14:paraId="6A5E004C" w14:textId="77777777" w:rsidR="006215BF" w:rsidRPr="006215BF" w:rsidRDefault="006215BF" w:rsidP="006215BF">
            <w:pPr>
              <w:ind w:right="162"/>
              <w:rPr>
                <w:rFonts w:ascii="Calibri" w:hAnsi="Calibri" w:cs="Tahoma"/>
                <w:b/>
                <w:bCs/>
                <w:lang w:val="en-IN"/>
              </w:rPr>
            </w:pPr>
            <w:r>
              <w:rPr>
                <w:rFonts w:ascii="Calibri" w:hAnsi="Calibri" w:cs="Tahoma"/>
                <w:b/>
                <w:bCs/>
                <w:lang w:val="en-IN"/>
              </w:rPr>
              <w:t>1.1.7 Collection of evidence</w:t>
            </w:r>
          </w:p>
          <w:p w14:paraId="333E5C8B" w14:textId="77777777" w:rsidR="006215BF" w:rsidRPr="006215BF" w:rsidRDefault="006215BF" w:rsidP="006215BF">
            <w:pPr>
              <w:pStyle w:val="ListParagraph"/>
              <w:numPr>
                <w:ilvl w:val="0"/>
                <w:numId w:val="9"/>
              </w:numPr>
              <w:ind w:right="162"/>
              <w:rPr>
                <w:rFonts w:ascii="Calibri" w:hAnsi="Calibri" w:cs="Tahoma"/>
                <w:lang w:val="en-IN"/>
              </w:rPr>
            </w:pPr>
            <w:r w:rsidRPr="006215BF">
              <w:rPr>
                <w:rFonts w:ascii="Calibri" w:hAnsi="Calibri" w:cs="Tahoma"/>
                <w:lang w:val="en-IN"/>
              </w:rPr>
              <w:t>SMSA</w:t>
            </w:r>
            <w:r>
              <w:rPr>
                <w:rFonts w:ascii="Calibri" w:hAnsi="Calibri" w:cs="Tahoma"/>
                <w:lang w:val="en-IN"/>
              </w:rPr>
              <w:t xml:space="preserve"> </w:t>
            </w:r>
            <w:r w:rsidRPr="006215BF">
              <w:rPr>
                <w:rFonts w:ascii="Calibri" w:hAnsi="Calibri" w:cs="Tahoma"/>
                <w:lang w:val="en-IN"/>
              </w:rPr>
              <w:t>information security and IT shall apply procedures for the identification, collection, acquisition and preservation of information, which can serve as evidence, SMSA Internal procedures should be developed and followed when dealing with evidence for the purposes of disciplinary and legal action.</w:t>
            </w:r>
          </w:p>
          <w:p w14:paraId="7A7120C7" w14:textId="77777777" w:rsidR="006215BF" w:rsidRPr="006215BF" w:rsidRDefault="006215BF" w:rsidP="006215BF">
            <w:pPr>
              <w:pStyle w:val="ListParagraph"/>
              <w:numPr>
                <w:ilvl w:val="0"/>
                <w:numId w:val="9"/>
              </w:numPr>
              <w:ind w:right="162"/>
              <w:rPr>
                <w:rFonts w:ascii="Calibri" w:hAnsi="Calibri" w:cs="Tahoma"/>
                <w:lang w:val="en-IN"/>
              </w:rPr>
            </w:pPr>
            <w:r w:rsidRPr="006215BF">
              <w:rPr>
                <w:rFonts w:ascii="Calibri" w:hAnsi="Calibri" w:cs="Tahoma"/>
                <w:lang w:val="en-IN"/>
              </w:rPr>
              <w:t>These procedures for evidence should provide processes of identification, collection, acquisition and preservation of evidence in accordance with different types of media, devices and status of devices, e.g. powered on or off.</w:t>
            </w:r>
          </w:p>
          <w:p w14:paraId="61035BCA" w14:textId="77777777" w:rsidR="006215BF" w:rsidRPr="006215BF" w:rsidRDefault="006215BF" w:rsidP="006215BF">
            <w:pPr>
              <w:pStyle w:val="ListParagraph"/>
              <w:numPr>
                <w:ilvl w:val="0"/>
                <w:numId w:val="9"/>
              </w:numPr>
              <w:ind w:right="162"/>
              <w:rPr>
                <w:rFonts w:ascii="Calibri" w:hAnsi="Calibri" w:cs="Tahoma"/>
                <w:lang w:val="en-IN"/>
              </w:rPr>
            </w:pPr>
            <w:r w:rsidRPr="006215BF">
              <w:rPr>
                <w:rFonts w:ascii="Calibri" w:hAnsi="Calibri" w:cs="Tahoma"/>
                <w:lang w:val="en-IN"/>
              </w:rPr>
              <w:t>SMSA</w:t>
            </w:r>
            <w:r>
              <w:rPr>
                <w:rFonts w:ascii="Calibri" w:hAnsi="Calibri" w:cs="Tahoma"/>
                <w:lang w:val="en-IN"/>
              </w:rPr>
              <w:t xml:space="preserve"> </w:t>
            </w:r>
            <w:r w:rsidRPr="006215BF">
              <w:rPr>
                <w:rFonts w:ascii="Calibri" w:hAnsi="Calibri" w:cs="Tahoma"/>
                <w:lang w:val="en-IN"/>
              </w:rPr>
              <w:t>information security procedures should take account of:</w:t>
            </w:r>
          </w:p>
          <w:p w14:paraId="58E54AFE" w14:textId="77777777" w:rsidR="006215BF" w:rsidRPr="006215BF" w:rsidRDefault="006215BF" w:rsidP="006215BF">
            <w:pPr>
              <w:pStyle w:val="ListParagraph"/>
              <w:numPr>
                <w:ilvl w:val="0"/>
                <w:numId w:val="25"/>
              </w:numPr>
              <w:ind w:right="162"/>
              <w:jc w:val="both"/>
              <w:rPr>
                <w:rFonts w:ascii="Calibri" w:hAnsi="Calibri" w:cs="Tahoma"/>
                <w:lang w:val="en-IN"/>
              </w:rPr>
            </w:pPr>
            <w:r w:rsidRPr="006215BF">
              <w:rPr>
                <w:rFonts w:ascii="Calibri" w:hAnsi="Calibri" w:cs="Tahoma"/>
                <w:lang w:val="en-IN"/>
              </w:rPr>
              <w:t>Chain of custody</w:t>
            </w:r>
          </w:p>
          <w:p w14:paraId="6F7AE0B7" w14:textId="77777777" w:rsidR="006215BF" w:rsidRPr="006215BF" w:rsidRDefault="006215BF" w:rsidP="006215BF">
            <w:pPr>
              <w:pStyle w:val="ListParagraph"/>
              <w:numPr>
                <w:ilvl w:val="0"/>
                <w:numId w:val="25"/>
              </w:numPr>
              <w:ind w:right="162"/>
              <w:jc w:val="both"/>
              <w:rPr>
                <w:rFonts w:ascii="Calibri" w:hAnsi="Calibri" w:cs="Tahoma"/>
                <w:lang w:val="en-IN"/>
              </w:rPr>
            </w:pPr>
            <w:r w:rsidRPr="006215BF">
              <w:rPr>
                <w:rFonts w:ascii="Calibri" w:hAnsi="Calibri" w:cs="Tahoma"/>
                <w:lang w:val="en-IN"/>
              </w:rPr>
              <w:t>Safety of evidence</w:t>
            </w:r>
          </w:p>
          <w:p w14:paraId="580BC2A4" w14:textId="77777777" w:rsidR="006215BF" w:rsidRPr="006215BF" w:rsidRDefault="006215BF" w:rsidP="006215BF">
            <w:pPr>
              <w:pStyle w:val="ListParagraph"/>
              <w:numPr>
                <w:ilvl w:val="0"/>
                <w:numId w:val="25"/>
              </w:numPr>
              <w:ind w:right="162"/>
              <w:jc w:val="both"/>
              <w:rPr>
                <w:rFonts w:ascii="Calibri" w:hAnsi="Calibri" w:cs="Tahoma"/>
                <w:lang w:val="en-IN"/>
              </w:rPr>
            </w:pPr>
            <w:r w:rsidRPr="006215BF">
              <w:rPr>
                <w:rFonts w:ascii="Calibri" w:hAnsi="Calibri" w:cs="Tahoma"/>
                <w:lang w:val="en-IN"/>
              </w:rPr>
              <w:t>Safety of personnel</w:t>
            </w:r>
          </w:p>
          <w:p w14:paraId="5636F8A6" w14:textId="77777777" w:rsidR="006215BF" w:rsidRPr="006215BF" w:rsidRDefault="006215BF" w:rsidP="006215BF">
            <w:pPr>
              <w:pStyle w:val="ListParagraph"/>
              <w:numPr>
                <w:ilvl w:val="0"/>
                <w:numId w:val="25"/>
              </w:numPr>
              <w:ind w:right="162"/>
              <w:jc w:val="both"/>
              <w:rPr>
                <w:rFonts w:ascii="Calibri" w:hAnsi="Calibri" w:cs="Tahoma"/>
                <w:lang w:val="en-IN"/>
              </w:rPr>
            </w:pPr>
            <w:r w:rsidRPr="006215BF">
              <w:rPr>
                <w:rFonts w:ascii="Calibri" w:hAnsi="Calibri" w:cs="Tahoma"/>
                <w:lang w:val="en-IN"/>
              </w:rPr>
              <w:t>Roles and responsibilities of personnel involved</w:t>
            </w:r>
          </w:p>
          <w:p w14:paraId="15EDE7CD" w14:textId="77777777" w:rsidR="006215BF" w:rsidRPr="006215BF" w:rsidRDefault="006215BF" w:rsidP="006215BF">
            <w:pPr>
              <w:pStyle w:val="ListParagraph"/>
              <w:numPr>
                <w:ilvl w:val="0"/>
                <w:numId w:val="25"/>
              </w:numPr>
              <w:ind w:right="162"/>
              <w:jc w:val="both"/>
              <w:rPr>
                <w:rFonts w:ascii="Calibri" w:hAnsi="Calibri" w:cs="Tahoma"/>
                <w:lang w:val="en-IN"/>
              </w:rPr>
            </w:pPr>
            <w:r w:rsidRPr="006215BF">
              <w:rPr>
                <w:rFonts w:ascii="Calibri" w:hAnsi="Calibri" w:cs="Tahoma"/>
                <w:lang w:val="en-IN"/>
              </w:rPr>
              <w:t>Competency of personnel</w:t>
            </w:r>
          </w:p>
          <w:p w14:paraId="62E261BC" w14:textId="77777777" w:rsidR="006215BF" w:rsidRPr="006215BF" w:rsidRDefault="006215BF" w:rsidP="006215BF">
            <w:pPr>
              <w:pStyle w:val="ListParagraph"/>
              <w:numPr>
                <w:ilvl w:val="0"/>
                <w:numId w:val="25"/>
              </w:numPr>
              <w:ind w:right="162"/>
              <w:jc w:val="both"/>
              <w:rPr>
                <w:rFonts w:ascii="Calibri" w:hAnsi="Calibri" w:cs="Tahoma"/>
                <w:lang w:val="en-IN"/>
              </w:rPr>
            </w:pPr>
            <w:r w:rsidRPr="006215BF">
              <w:rPr>
                <w:rFonts w:ascii="Calibri" w:hAnsi="Calibri" w:cs="Tahoma"/>
                <w:lang w:val="en-IN"/>
              </w:rPr>
              <w:t>Documentation</w:t>
            </w:r>
          </w:p>
          <w:p w14:paraId="21CC6754" w14:textId="77777777" w:rsidR="00A4449F" w:rsidRPr="00363CE0" w:rsidRDefault="00363CE0" w:rsidP="00363CE0">
            <w:pPr>
              <w:ind w:right="162"/>
              <w:jc w:val="both"/>
              <w:rPr>
                <w:rFonts w:ascii="Calibri" w:hAnsi="Calibri" w:cs="Tahoma"/>
                <w:b/>
                <w:bCs/>
                <w:u w:val="single"/>
                <w:lang w:val="en-IN"/>
              </w:rPr>
            </w:pPr>
            <w:bookmarkStart w:id="0" w:name="_Toc521829169"/>
            <w:r>
              <w:rPr>
                <w:rFonts w:ascii="Calibri" w:hAnsi="Calibri" w:cs="Tahoma"/>
                <w:b/>
                <w:bCs/>
                <w:u w:val="single"/>
                <w:lang w:val="en-IN"/>
              </w:rPr>
              <w:t xml:space="preserve">2. </w:t>
            </w:r>
            <w:r w:rsidR="00A4449F" w:rsidRPr="00363CE0">
              <w:rPr>
                <w:rFonts w:ascii="Calibri" w:hAnsi="Calibri" w:cs="Tahoma"/>
                <w:b/>
                <w:bCs/>
                <w:u w:val="single"/>
                <w:lang w:val="en-IN"/>
              </w:rPr>
              <w:t>Review Period</w:t>
            </w:r>
            <w:bookmarkEnd w:id="0"/>
          </w:p>
          <w:p w14:paraId="39A4C8EC" w14:textId="77777777" w:rsidR="00A4449F" w:rsidRPr="00363CE0" w:rsidRDefault="00A4449F" w:rsidP="00363CE0">
            <w:pPr>
              <w:ind w:right="162"/>
              <w:jc w:val="both"/>
              <w:rPr>
                <w:rFonts w:ascii="Calibri" w:hAnsi="Calibri" w:cs="Tahoma"/>
                <w:lang w:val="en-IN"/>
              </w:rPr>
            </w:pPr>
            <w:r w:rsidRPr="00363CE0">
              <w:rPr>
                <w:rFonts w:ascii="Calibri" w:hAnsi="Calibri" w:cs="Tahoma"/>
                <w:lang w:val="en-IN"/>
              </w:rPr>
              <w:t>The policy will be reviewed by the NATIONAL IT MANAGER on an annual basis or as mandated by a major change in the business, legal, regulatory or other compliance requirements.</w:t>
            </w:r>
          </w:p>
          <w:p w14:paraId="01BCE38C" w14:textId="77777777" w:rsidR="00A4449F" w:rsidRPr="00363CE0" w:rsidRDefault="00363CE0" w:rsidP="00363CE0">
            <w:pPr>
              <w:ind w:right="162"/>
              <w:jc w:val="both"/>
              <w:rPr>
                <w:rFonts w:ascii="Calibri" w:hAnsi="Calibri" w:cs="Tahoma"/>
                <w:b/>
                <w:bCs/>
                <w:u w:val="single"/>
                <w:lang w:val="en-IN"/>
              </w:rPr>
            </w:pPr>
            <w:bookmarkStart w:id="1" w:name="_Toc435609883"/>
            <w:bookmarkStart w:id="2" w:name="_Toc521829170"/>
            <w:r>
              <w:rPr>
                <w:rFonts w:ascii="Calibri" w:hAnsi="Calibri" w:cs="Tahoma"/>
                <w:b/>
                <w:bCs/>
                <w:u w:val="single"/>
                <w:lang w:val="en-IN"/>
              </w:rPr>
              <w:t xml:space="preserve">3. </w:t>
            </w:r>
            <w:r w:rsidR="00A4449F" w:rsidRPr="00363CE0">
              <w:rPr>
                <w:rFonts w:ascii="Calibri" w:hAnsi="Calibri" w:cs="Tahoma"/>
                <w:b/>
                <w:bCs/>
                <w:u w:val="single"/>
                <w:lang w:val="en-IN"/>
              </w:rPr>
              <w:t>Enforcement</w:t>
            </w:r>
            <w:bookmarkEnd w:id="1"/>
            <w:bookmarkEnd w:id="2"/>
          </w:p>
          <w:p w14:paraId="46723538"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3" w:name="_Toc435797706"/>
            <w:bookmarkStart w:id="4" w:name="_Toc435949877"/>
            <w:bookmarkStart w:id="5" w:name="_Toc435950387"/>
            <w:bookmarkStart w:id="6" w:name="_Toc435954487"/>
            <w:bookmarkStart w:id="7" w:name="_Toc520924090"/>
            <w:bookmarkStart w:id="8" w:name="_Toc520973998"/>
            <w:bookmarkStart w:id="9" w:name="_Toc520976643"/>
            <w:bookmarkStart w:id="10" w:name="_Toc521402576"/>
            <w:bookmarkStart w:id="11" w:name="_Toc521829171"/>
            <w:bookmarkEnd w:id="3"/>
            <w:bookmarkEnd w:id="4"/>
            <w:bookmarkEnd w:id="5"/>
            <w:bookmarkEnd w:id="6"/>
            <w:bookmarkEnd w:id="7"/>
            <w:bookmarkEnd w:id="8"/>
            <w:bookmarkEnd w:id="9"/>
            <w:bookmarkEnd w:id="10"/>
            <w:bookmarkEnd w:id="11"/>
          </w:p>
          <w:p w14:paraId="26708A80"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2" w:name="_Toc521829172"/>
            <w:bookmarkEnd w:id="12"/>
          </w:p>
          <w:p w14:paraId="467E2339"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3" w:name="_Toc521829173"/>
            <w:bookmarkEnd w:id="13"/>
          </w:p>
          <w:p w14:paraId="701A0990"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4" w:name="_Toc521829174"/>
            <w:bookmarkEnd w:id="14"/>
          </w:p>
          <w:p w14:paraId="31EDBA92"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5" w:name="_Toc521829175"/>
            <w:bookmarkEnd w:id="15"/>
          </w:p>
          <w:p w14:paraId="081B4431"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6" w:name="_Toc521829176"/>
            <w:bookmarkEnd w:id="16"/>
          </w:p>
          <w:p w14:paraId="1913B46A" w14:textId="77777777" w:rsidR="00A4449F" w:rsidRPr="00363CE0" w:rsidRDefault="00363CE0" w:rsidP="00363CE0">
            <w:pPr>
              <w:spacing w:line="276" w:lineRule="auto"/>
              <w:jc w:val="both"/>
              <w:rPr>
                <w:b/>
                <w:bCs/>
              </w:rPr>
            </w:pPr>
            <w:r>
              <w:rPr>
                <w:b/>
                <w:bCs/>
              </w:rPr>
              <w:t xml:space="preserve">3.1 </w:t>
            </w:r>
            <w:r w:rsidR="00A4449F" w:rsidRPr="00363CE0">
              <w:rPr>
                <w:b/>
                <w:bCs/>
              </w:rPr>
              <w:t>Policy Violation</w:t>
            </w:r>
          </w:p>
          <w:p w14:paraId="23FD0B38" w14:textId="77777777" w:rsidR="00A4449F" w:rsidRPr="00363CE0" w:rsidRDefault="00A4449F" w:rsidP="00A71448">
            <w:pPr>
              <w:ind w:right="162"/>
              <w:jc w:val="both"/>
              <w:rPr>
                <w:rFonts w:ascii="Calibri" w:hAnsi="Calibri" w:cs="Tahoma"/>
                <w:lang w:val="en-IN"/>
              </w:rPr>
            </w:pPr>
            <w:r w:rsidRPr="00363CE0">
              <w:rPr>
                <w:rFonts w:ascii="Calibri" w:hAnsi="Calibri" w:cs="Tahoma"/>
                <w:lang w:val="en-IN"/>
              </w:rPr>
              <w:t xml:space="preserve">Violation of the policy shall result in corrective action </w:t>
            </w:r>
            <w:r w:rsidR="00A71448">
              <w:rPr>
                <w:rFonts w:ascii="Calibri" w:hAnsi="Calibri" w:cs="Tahoma"/>
                <w:lang w:val="en-IN"/>
              </w:rPr>
              <w:t>as per DVD</w:t>
            </w:r>
            <w:r w:rsidRPr="00363CE0">
              <w:rPr>
                <w:rFonts w:ascii="Calibri" w:hAnsi="Calibri" w:cs="Tahoma"/>
                <w:lang w:val="en-IN"/>
              </w:rPr>
              <w:t xml:space="preserve">. Disciplinary action shall be consistent with the severity of the incident, as determined by the investigation, and may include, but not limited to </w:t>
            </w:r>
          </w:p>
          <w:p w14:paraId="3DA42C79"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Warning letter</w:t>
            </w:r>
          </w:p>
          <w:p w14:paraId="5E4B0296"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Removal of access privileges to information assets.</w:t>
            </w:r>
          </w:p>
          <w:p w14:paraId="7EAF0C28"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Termination of employment or contract.</w:t>
            </w:r>
          </w:p>
          <w:p w14:paraId="1C72484E"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Other actions deemed appropriate by management, HR department and Legal department.</w:t>
            </w:r>
          </w:p>
          <w:p w14:paraId="674C8FDB" w14:textId="77777777" w:rsidR="00A4449F" w:rsidRPr="00363CE0" w:rsidRDefault="00363CE0" w:rsidP="00363CE0">
            <w:pPr>
              <w:spacing w:line="276" w:lineRule="auto"/>
              <w:jc w:val="both"/>
              <w:rPr>
                <w:b/>
                <w:bCs/>
              </w:rPr>
            </w:pPr>
            <w:r>
              <w:rPr>
                <w:b/>
                <w:bCs/>
              </w:rPr>
              <w:lastRenderedPageBreak/>
              <w:t xml:space="preserve">3.2 </w:t>
            </w:r>
            <w:r w:rsidR="00A4449F" w:rsidRPr="00363CE0">
              <w:rPr>
                <w:b/>
                <w:bCs/>
              </w:rPr>
              <w:t>Policy Waiver</w:t>
            </w:r>
          </w:p>
          <w:p w14:paraId="7F37B53F" w14:textId="77777777" w:rsidR="003050B7" w:rsidRPr="002660D7" w:rsidRDefault="00A4449F" w:rsidP="002660D7">
            <w:pPr>
              <w:ind w:right="162"/>
              <w:jc w:val="both"/>
              <w:rPr>
                <w:rFonts w:ascii="Calibri" w:hAnsi="Calibri" w:cs="Tahoma"/>
                <w:lang w:val="en-IN"/>
              </w:rPr>
            </w:pPr>
            <w:r w:rsidRPr="00363CE0">
              <w:rPr>
                <w:rFonts w:ascii="Calibri" w:hAnsi="Calibri" w:cs="Tahoma"/>
                <w:lang w:val="en-IN"/>
              </w:rPr>
              <w:t xml:space="preserve">Any exception to this policy has to be formally approved by </w:t>
            </w:r>
            <w:r w:rsidR="002660D7">
              <w:rPr>
                <w:rFonts w:ascii="Calibri" w:hAnsi="Calibri" w:cs="Tahoma"/>
                <w:lang w:val="en-IN"/>
              </w:rPr>
              <w:t>the Managing Director and documented.</w:t>
            </w:r>
          </w:p>
        </w:tc>
      </w:tr>
    </w:tbl>
    <w:p w14:paraId="566F61B0" w14:textId="77777777" w:rsidR="003050B7" w:rsidRPr="002928E9" w:rsidRDefault="003050B7" w:rsidP="001241FF"/>
    <w:p w14:paraId="0A03714F" w14:textId="77777777" w:rsidR="00B50A6C" w:rsidRDefault="00B50A6C"/>
    <w:sectPr w:rsidR="00B50A6C"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1D70" w14:textId="77777777" w:rsidR="00D62AE1" w:rsidRDefault="00D62AE1" w:rsidP="003050B7">
      <w:pPr>
        <w:spacing w:after="0"/>
      </w:pPr>
      <w:r>
        <w:separator/>
      </w:r>
    </w:p>
  </w:endnote>
  <w:endnote w:type="continuationSeparator" w:id="0">
    <w:p w14:paraId="668A58D5" w14:textId="77777777" w:rsidR="00D62AE1" w:rsidRDefault="00D62AE1"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92C1" w14:textId="6B052EAD" w:rsidR="00083195" w:rsidRPr="00B93592" w:rsidRDefault="00B93592" w:rsidP="002D6CD3">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D30AAD"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D30AAD" w:rsidRPr="00B93592">
      <w:rPr>
        <w:rFonts w:asciiTheme="minorHAnsi" w:hAnsiTheme="minorHAnsi" w:cstheme="minorHAnsi"/>
        <w:b/>
        <w:sz w:val="20"/>
        <w:szCs w:val="20"/>
      </w:rPr>
      <w:fldChar w:fldCharType="separate"/>
    </w:r>
    <w:r w:rsidR="00417B91">
      <w:rPr>
        <w:rFonts w:asciiTheme="minorHAnsi" w:hAnsiTheme="minorHAnsi" w:cstheme="minorHAnsi"/>
        <w:b/>
        <w:noProof/>
        <w:sz w:val="20"/>
        <w:szCs w:val="20"/>
      </w:rPr>
      <w:t>1</w:t>
    </w:r>
    <w:r w:rsidR="00D30AAD"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D30AAD"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D30AAD" w:rsidRPr="00B93592">
      <w:rPr>
        <w:rFonts w:asciiTheme="minorHAnsi" w:hAnsiTheme="minorHAnsi" w:cstheme="minorHAnsi"/>
        <w:b/>
        <w:sz w:val="20"/>
        <w:szCs w:val="20"/>
      </w:rPr>
      <w:fldChar w:fldCharType="separate"/>
    </w:r>
    <w:r w:rsidR="00417B91">
      <w:rPr>
        <w:rFonts w:asciiTheme="minorHAnsi" w:hAnsiTheme="minorHAnsi" w:cstheme="minorHAnsi"/>
        <w:b/>
        <w:noProof/>
        <w:sz w:val="20"/>
        <w:szCs w:val="20"/>
      </w:rPr>
      <w:t>6</w:t>
    </w:r>
    <w:r w:rsidR="00D30AAD"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r w:rsidRPr="00B93592">
      <w:rPr>
        <w:rFonts w:asciiTheme="minorHAnsi" w:hAnsiTheme="minorHAnsi" w:cstheme="minorHAnsi"/>
        <w:sz w:val="20"/>
        <w:szCs w:val="20"/>
      </w:rPr>
      <w:t xml:space="preserve"> </w:t>
    </w:r>
  </w:p>
  <w:p w14:paraId="3798DE7D" w14:textId="40DC8813" w:rsidR="00B93592" w:rsidRPr="00B93592" w:rsidRDefault="007038E5" w:rsidP="00B93592">
    <w:pPr>
      <w:pStyle w:val="Footer"/>
      <w:jc w:val="righ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042A" w14:textId="77777777" w:rsidR="00D62AE1" w:rsidRDefault="00D62AE1" w:rsidP="003050B7">
      <w:pPr>
        <w:spacing w:after="0"/>
      </w:pPr>
      <w:r>
        <w:separator/>
      </w:r>
    </w:p>
  </w:footnote>
  <w:footnote w:type="continuationSeparator" w:id="0">
    <w:p w14:paraId="511F6815" w14:textId="77777777" w:rsidR="00D62AE1" w:rsidRDefault="00D62AE1"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28B7B6ED" w14:textId="77777777" w:rsidTr="00980C86">
      <w:tc>
        <w:tcPr>
          <w:tcW w:w="4230" w:type="dxa"/>
        </w:tcPr>
        <w:p w14:paraId="41A57784" w14:textId="77777777" w:rsidR="00083195" w:rsidRPr="003069FB" w:rsidRDefault="00B93592" w:rsidP="003050B7">
          <w:pPr>
            <w:pStyle w:val="Header"/>
            <w:rPr>
              <w:b/>
              <w:noProof/>
              <w:sz w:val="28"/>
              <w:szCs w:val="28"/>
            </w:rPr>
          </w:pPr>
          <w:r>
            <w:rPr>
              <w:b/>
              <w:noProof/>
              <w:sz w:val="28"/>
              <w:szCs w:val="28"/>
            </w:rPr>
            <w:drawing>
              <wp:inline distT="0" distB="0" distL="0" distR="0" wp14:anchorId="08276AE0" wp14:editId="6B3BD48F">
                <wp:extent cx="1349713" cy="342900"/>
                <wp:effectExtent l="19050" t="0" r="2837" b="0"/>
                <wp:docPr id="1" name="Picture 0"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a:srcRect b="38054"/>
                        <a:stretch>
                          <a:fillRect/>
                        </a:stretch>
                      </pic:blipFill>
                      <pic:spPr>
                        <a:xfrm>
                          <a:off x="0" y="0"/>
                          <a:ext cx="1351983" cy="343477"/>
                        </a:xfrm>
                        <a:prstGeom prst="rect">
                          <a:avLst/>
                        </a:prstGeom>
                      </pic:spPr>
                    </pic:pic>
                  </a:graphicData>
                </a:graphic>
              </wp:inline>
            </w:drawing>
          </w:r>
        </w:p>
      </w:tc>
      <w:tc>
        <w:tcPr>
          <w:tcW w:w="6390" w:type="dxa"/>
        </w:tcPr>
        <w:p w14:paraId="03E6EABC" w14:textId="77777777" w:rsidR="00083195" w:rsidRDefault="00FF2CEB" w:rsidP="00D10214">
          <w:pPr>
            <w:pStyle w:val="Header"/>
            <w:jc w:val="right"/>
            <w:rPr>
              <w:rFonts w:ascii="Calibri" w:hAnsi="Calibri"/>
              <w:b/>
              <w:noProof/>
              <w:sz w:val="32"/>
            </w:rPr>
          </w:pPr>
          <w:r>
            <w:rPr>
              <w:rFonts w:ascii="Calibri" w:hAnsi="Calibri"/>
              <w:b/>
              <w:noProof/>
              <w:sz w:val="32"/>
            </w:rPr>
            <w:t>Information Security Incident Management Policy</w:t>
          </w:r>
        </w:p>
        <w:p w14:paraId="4CC7D15D" w14:textId="77777777" w:rsidR="00083195" w:rsidRPr="003069FB" w:rsidRDefault="00AD2D1D" w:rsidP="00C64A9D">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C64A9D">
            <w:rPr>
              <w:rFonts w:ascii="Calibri" w:hAnsi="Calibri"/>
              <w:noProof/>
            </w:rPr>
            <w:t>ITD</w:t>
          </w:r>
        </w:p>
      </w:tc>
    </w:tr>
  </w:tbl>
  <w:p w14:paraId="2AF16948" w14:textId="77777777" w:rsidR="00083195" w:rsidRPr="00607DB0" w:rsidRDefault="00083195" w:rsidP="00B9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C33"/>
    <w:multiLevelType w:val="hybridMultilevel"/>
    <w:tmpl w:val="5ADC09EE"/>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15:restartNumberingAfterBreak="0">
    <w:nsid w:val="0A7A2117"/>
    <w:multiLevelType w:val="hybridMultilevel"/>
    <w:tmpl w:val="A1E0BF94"/>
    <w:lvl w:ilvl="0" w:tplc="4009000F">
      <w:start w:val="1"/>
      <w:numFmt w:val="decimal"/>
      <w:lvlText w:val="%1."/>
      <w:lvlJc w:val="left"/>
      <w:pPr>
        <w:ind w:left="360" w:hanging="360"/>
      </w:pPr>
    </w:lvl>
    <w:lvl w:ilvl="1" w:tplc="03CAB7A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EA04A39"/>
    <w:multiLevelType w:val="hybridMultilevel"/>
    <w:tmpl w:val="D108D656"/>
    <w:lvl w:ilvl="0" w:tplc="96EEC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B30528"/>
    <w:multiLevelType w:val="hybridMultilevel"/>
    <w:tmpl w:val="D4B6FCAC"/>
    <w:lvl w:ilvl="0" w:tplc="245A1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B019E"/>
    <w:multiLevelType w:val="hybridMultilevel"/>
    <w:tmpl w:val="83A03460"/>
    <w:lvl w:ilvl="0" w:tplc="04090001">
      <w:start w:val="1"/>
      <w:numFmt w:val="bullet"/>
      <w:lvlText w:val=""/>
      <w:lvlJc w:val="left"/>
      <w:pPr>
        <w:ind w:left="3600" w:hanging="360"/>
      </w:pPr>
      <w:rPr>
        <w:rFonts w:ascii="Symbol" w:hAnsi="Symbol" w:hint="default"/>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EA26131"/>
    <w:multiLevelType w:val="hybridMultilevel"/>
    <w:tmpl w:val="A4E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A74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F3995"/>
    <w:multiLevelType w:val="hybridMultilevel"/>
    <w:tmpl w:val="968CDF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2F271E03"/>
    <w:multiLevelType w:val="hybridMultilevel"/>
    <w:tmpl w:val="3DF2F86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1" w15:restartNumberingAfterBreak="0">
    <w:nsid w:val="30892E1F"/>
    <w:multiLevelType w:val="hybridMultilevel"/>
    <w:tmpl w:val="421C98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D4832"/>
    <w:multiLevelType w:val="hybridMultilevel"/>
    <w:tmpl w:val="F4BECE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2A31ED"/>
    <w:multiLevelType w:val="hybridMultilevel"/>
    <w:tmpl w:val="216E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46B0163"/>
    <w:multiLevelType w:val="hybridMultilevel"/>
    <w:tmpl w:val="E5DCBF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715D98"/>
    <w:multiLevelType w:val="hybridMultilevel"/>
    <w:tmpl w:val="EFBE04A8"/>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7" w15:restartNumberingAfterBreak="0">
    <w:nsid w:val="52D74740"/>
    <w:multiLevelType w:val="hybridMultilevel"/>
    <w:tmpl w:val="70C6B8B0"/>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15:restartNumberingAfterBreak="0">
    <w:nsid w:val="5E164668"/>
    <w:multiLevelType w:val="hybridMultilevel"/>
    <w:tmpl w:val="8B2697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E8075F"/>
    <w:multiLevelType w:val="multilevel"/>
    <w:tmpl w:val="15968E36"/>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1990918"/>
    <w:multiLevelType w:val="hybridMultilevel"/>
    <w:tmpl w:val="3D9623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6AC60008"/>
    <w:multiLevelType w:val="hybridMultilevel"/>
    <w:tmpl w:val="C4CC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A8921F0"/>
    <w:multiLevelType w:val="hybridMultilevel"/>
    <w:tmpl w:val="7820DE7C"/>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E2A6E2D"/>
    <w:multiLevelType w:val="hybridMultilevel"/>
    <w:tmpl w:val="711A8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3458468">
    <w:abstractNumId w:val="12"/>
  </w:num>
  <w:num w:numId="2" w16cid:durableId="1384792716">
    <w:abstractNumId w:val="4"/>
  </w:num>
  <w:num w:numId="3" w16cid:durableId="1196694288">
    <w:abstractNumId w:val="14"/>
  </w:num>
  <w:num w:numId="4" w16cid:durableId="1749377267">
    <w:abstractNumId w:val="20"/>
  </w:num>
  <w:num w:numId="5" w16cid:durableId="334958997">
    <w:abstractNumId w:val="6"/>
  </w:num>
  <w:num w:numId="6" w16cid:durableId="645282950">
    <w:abstractNumId w:val="24"/>
  </w:num>
  <w:num w:numId="7" w16cid:durableId="723061761">
    <w:abstractNumId w:val="7"/>
  </w:num>
  <w:num w:numId="8" w16cid:durableId="2002418568">
    <w:abstractNumId w:val="16"/>
  </w:num>
  <w:num w:numId="9" w16cid:durableId="1622570485">
    <w:abstractNumId w:val="8"/>
  </w:num>
  <w:num w:numId="10" w16cid:durableId="1192190100">
    <w:abstractNumId w:val="5"/>
  </w:num>
  <w:num w:numId="11" w16cid:durableId="697392232">
    <w:abstractNumId w:val="13"/>
  </w:num>
  <w:num w:numId="12" w16cid:durableId="1363364398">
    <w:abstractNumId w:val="3"/>
  </w:num>
  <w:num w:numId="13" w16cid:durableId="1365790521">
    <w:abstractNumId w:val="15"/>
  </w:num>
  <w:num w:numId="14" w16cid:durableId="2034305420">
    <w:abstractNumId w:val="2"/>
  </w:num>
  <w:num w:numId="15" w16cid:durableId="1032144778">
    <w:abstractNumId w:val="18"/>
  </w:num>
  <w:num w:numId="16" w16cid:durableId="1636133119">
    <w:abstractNumId w:val="19"/>
  </w:num>
  <w:num w:numId="17" w16cid:durableId="1992446320">
    <w:abstractNumId w:val="17"/>
  </w:num>
  <w:num w:numId="18" w16cid:durableId="1939822800">
    <w:abstractNumId w:val="23"/>
  </w:num>
  <w:num w:numId="19" w16cid:durableId="591277081">
    <w:abstractNumId w:val="22"/>
  </w:num>
  <w:num w:numId="20" w16cid:durableId="2057968848">
    <w:abstractNumId w:val="1"/>
  </w:num>
  <w:num w:numId="21" w16cid:durableId="566302107">
    <w:abstractNumId w:val="9"/>
  </w:num>
  <w:num w:numId="22" w16cid:durableId="1122118670">
    <w:abstractNumId w:val="21"/>
  </w:num>
  <w:num w:numId="23" w16cid:durableId="924068249">
    <w:abstractNumId w:val="10"/>
  </w:num>
  <w:num w:numId="24" w16cid:durableId="1494644334">
    <w:abstractNumId w:val="0"/>
  </w:num>
  <w:num w:numId="25" w16cid:durableId="4063911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B7"/>
    <w:rsid w:val="000002C8"/>
    <w:rsid w:val="0000200C"/>
    <w:rsid w:val="000034A0"/>
    <w:rsid w:val="00003C93"/>
    <w:rsid w:val="000042AA"/>
    <w:rsid w:val="00005379"/>
    <w:rsid w:val="0000678F"/>
    <w:rsid w:val="00006CDD"/>
    <w:rsid w:val="00006DB4"/>
    <w:rsid w:val="00006E43"/>
    <w:rsid w:val="00007F8E"/>
    <w:rsid w:val="0001023F"/>
    <w:rsid w:val="00011BDF"/>
    <w:rsid w:val="00011CFB"/>
    <w:rsid w:val="000128B5"/>
    <w:rsid w:val="00012F26"/>
    <w:rsid w:val="00013632"/>
    <w:rsid w:val="00013F2A"/>
    <w:rsid w:val="00015AD0"/>
    <w:rsid w:val="000226CC"/>
    <w:rsid w:val="00022776"/>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3CBD"/>
    <w:rsid w:val="0006546A"/>
    <w:rsid w:val="00065CC6"/>
    <w:rsid w:val="00067C6B"/>
    <w:rsid w:val="00071AA5"/>
    <w:rsid w:val="0007299C"/>
    <w:rsid w:val="0007490B"/>
    <w:rsid w:val="00075B32"/>
    <w:rsid w:val="0007655E"/>
    <w:rsid w:val="00076663"/>
    <w:rsid w:val="000776A6"/>
    <w:rsid w:val="0007778B"/>
    <w:rsid w:val="00081171"/>
    <w:rsid w:val="00081340"/>
    <w:rsid w:val="00082519"/>
    <w:rsid w:val="00082C6F"/>
    <w:rsid w:val="00083195"/>
    <w:rsid w:val="00083AEC"/>
    <w:rsid w:val="00084436"/>
    <w:rsid w:val="00084836"/>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1FEE"/>
    <w:rsid w:val="000E21AA"/>
    <w:rsid w:val="000E25A6"/>
    <w:rsid w:val="000E2769"/>
    <w:rsid w:val="000E3AE2"/>
    <w:rsid w:val="000E4D6D"/>
    <w:rsid w:val="000E5C14"/>
    <w:rsid w:val="000E6A5D"/>
    <w:rsid w:val="000E6E77"/>
    <w:rsid w:val="000E79B3"/>
    <w:rsid w:val="000F01F0"/>
    <w:rsid w:val="000F1612"/>
    <w:rsid w:val="000F201C"/>
    <w:rsid w:val="000F2875"/>
    <w:rsid w:val="000F2C6F"/>
    <w:rsid w:val="000F2CEF"/>
    <w:rsid w:val="000F40C6"/>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3F99"/>
    <w:rsid w:val="00154F40"/>
    <w:rsid w:val="00154F4F"/>
    <w:rsid w:val="0015716A"/>
    <w:rsid w:val="001578E3"/>
    <w:rsid w:val="00157FF6"/>
    <w:rsid w:val="00160FF7"/>
    <w:rsid w:val="00161C73"/>
    <w:rsid w:val="0016324F"/>
    <w:rsid w:val="00163B75"/>
    <w:rsid w:val="001642D3"/>
    <w:rsid w:val="0016530C"/>
    <w:rsid w:val="0016532D"/>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078"/>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918F1"/>
    <w:rsid w:val="00192208"/>
    <w:rsid w:val="00192FC9"/>
    <w:rsid w:val="001933F4"/>
    <w:rsid w:val="00195129"/>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CF1"/>
    <w:rsid w:val="00230DF0"/>
    <w:rsid w:val="00231823"/>
    <w:rsid w:val="00234042"/>
    <w:rsid w:val="00234799"/>
    <w:rsid w:val="00234EBB"/>
    <w:rsid w:val="00236CD6"/>
    <w:rsid w:val="00236EA7"/>
    <w:rsid w:val="00236F36"/>
    <w:rsid w:val="002412F9"/>
    <w:rsid w:val="00243A2F"/>
    <w:rsid w:val="00244D4C"/>
    <w:rsid w:val="00245FC5"/>
    <w:rsid w:val="00246841"/>
    <w:rsid w:val="00250456"/>
    <w:rsid w:val="0025359F"/>
    <w:rsid w:val="002538DA"/>
    <w:rsid w:val="00253EEF"/>
    <w:rsid w:val="00254387"/>
    <w:rsid w:val="002545FE"/>
    <w:rsid w:val="00257124"/>
    <w:rsid w:val="002575A1"/>
    <w:rsid w:val="00261B9D"/>
    <w:rsid w:val="00262702"/>
    <w:rsid w:val="00262790"/>
    <w:rsid w:val="00265FB0"/>
    <w:rsid w:val="00266002"/>
    <w:rsid w:val="002660D7"/>
    <w:rsid w:val="00266294"/>
    <w:rsid w:val="00266475"/>
    <w:rsid w:val="00266CDF"/>
    <w:rsid w:val="0027181F"/>
    <w:rsid w:val="00271DBA"/>
    <w:rsid w:val="0027312D"/>
    <w:rsid w:val="002754C3"/>
    <w:rsid w:val="00277DB8"/>
    <w:rsid w:val="0028000C"/>
    <w:rsid w:val="00280416"/>
    <w:rsid w:val="00283F77"/>
    <w:rsid w:val="002844D8"/>
    <w:rsid w:val="002844DB"/>
    <w:rsid w:val="00284E3A"/>
    <w:rsid w:val="00285BD4"/>
    <w:rsid w:val="00286002"/>
    <w:rsid w:val="00286B7A"/>
    <w:rsid w:val="00287EFE"/>
    <w:rsid w:val="00290535"/>
    <w:rsid w:val="00290536"/>
    <w:rsid w:val="0029076D"/>
    <w:rsid w:val="00290BC7"/>
    <w:rsid w:val="00293E15"/>
    <w:rsid w:val="00294A9D"/>
    <w:rsid w:val="00295818"/>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6CD3"/>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46C4"/>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AE4"/>
    <w:rsid w:val="00350C7F"/>
    <w:rsid w:val="00353254"/>
    <w:rsid w:val="00353D9B"/>
    <w:rsid w:val="00357416"/>
    <w:rsid w:val="0036179F"/>
    <w:rsid w:val="003630D2"/>
    <w:rsid w:val="0036391C"/>
    <w:rsid w:val="00363CE0"/>
    <w:rsid w:val="00364EF9"/>
    <w:rsid w:val="003652DC"/>
    <w:rsid w:val="003678E1"/>
    <w:rsid w:val="00367EDD"/>
    <w:rsid w:val="00370FD9"/>
    <w:rsid w:val="0037100B"/>
    <w:rsid w:val="003724F7"/>
    <w:rsid w:val="003726B3"/>
    <w:rsid w:val="0037437B"/>
    <w:rsid w:val="00377A60"/>
    <w:rsid w:val="00377A8B"/>
    <w:rsid w:val="0038019D"/>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54E9"/>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B91"/>
    <w:rsid w:val="00417D01"/>
    <w:rsid w:val="00420F54"/>
    <w:rsid w:val="00421656"/>
    <w:rsid w:val="00422329"/>
    <w:rsid w:val="0042495E"/>
    <w:rsid w:val="00424C81"/>
    <w:rsid w:val="00425144"/>
    <w:rsid w:val="00425D7A"/>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2069"/>
    <w:rsid w:val="00463FF7"/>
    <w:rsid w:val="00464246"/>
    <w:rsid w:val="00464B10"/>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590A"/>
    <w:rsid w:val="004A6771"/>
    <w:rsid w:val="004B3FAF"/>
    <w:rsid w:val="004B5BF3"/>
    <w:rsid w:val="004B7810"/>
    <w:rsid w:val="004B7EAF"/>
    <w:rsid w:val="004C027D"/>
    <w:rsid w:val="004C3A8D"/>
    <w:rsid w:val="004C3DD5"/>
    <w:rsid w:val="004C3F14"/>
    <w:rsid w:val="004C57B1"/>
    <w:rsid w:val="004C6ACD"/>
    <w:rsid w:val="004C7FA0"/>
    <w:rsid w:val="004D08E2"/>
    <w:rsid w:val="004D0AF1"/>
    <w:rsid w:val="004D0CBE"/>
    <w:rsid w:val="004D1295"/>
    <w:rsid w:val="004D28DB"/>
    <w:rsid w:val="004D3529"/>
    <w:rsid w:val="004D4371"/>
    <w:rsid w:val="004D4A27"/>
    <w:rsid w:val="004D4FB6"/>
    <w:rsid w:val="004D64E8"/>
    <w:rsid w:val="004E0EFC"/>
    <w:rsid w:val="004E2391"/>
    <w:rsid w:val="004E4F82"/>
    <w:rsid w:val="004E5A29"/>
    <w:rsid w:val="004E635A"/>
    <w:rsid w:val="004E6A3F"/>
    <w:rsid w:val="004E7314"/>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681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5999"/>
    <w:rsid w:val="005C5B45"/>
    <w:rsid w:val="005C7794"/>
    <w:rsid w:val="005D0BD0"/>
    <w:rsid w:val="005D2253"/>
    <w:rsid w:val="005D2EC5"/>
    <w:rsid w:val="005D569C"/>
    <w:rsid w:val="005D6270"/>
    <w:rsid w:val="005E026C"/>
    <w:rsid w:val="005E1635"/>
    <w:rsid w:val="005E2226"/>
    <w:rsid w:val="005E2256"/>
    <w:rsid w:val="005E3D4D"/>
    <w:rsid w:val="005E4DBC"/>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5BF"/>
    <w:rsid w:val="00621CB1"/>
    <w:rsid w:val="00621E04"/>
    <w:rsid w:val="006232A7"/>
    <w:rsid w:val="00624AD8"/>
    <w:rsid w:val="00625BA6"/>
    <w:rsid w:val="006267A7"/>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2514"/>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0D89"/>
    <w:rsid w:val="006C21ED"/>
    <w:rsid w:val="006C223D"/>
    <w:rsid w:val="006C2E06"/>
    <w:rsid w:val="006C4D5E"/>
    <w:rsid w:val="006C5A74"/>
    <w:rsid w:val="006C6126"/>
    <w:rsid w:val="006D0E00"/>
    <w:rsid w:val="006D1B43"/>
    <w:rsid w:val="006D28F1"/>
    <w:rsid w:val="006D3A16"/>
    <w:rsid w:val="006D3E71"/>
    <w:rsid w:val="006D4523"/>
    <w:rsid w:val="006D47F6"/>
    <w:rsid w:val="006D56C0"/>
    <w:rsid w:val="006D5CBE"/>
    <w:rsid w:val="006D6F28"/>
    <w:rsid w:val="006E2FBD"/>
    <w:rsid w:val="006E3577"/>
    <w:rsid w:val="006E379F"/>
    <w:rsid w:val="006E4048"/>
    <w:rsid w:val="006E4533"/>
    <w:rsid w:val="006E4952"/>
    <w:rsid w:val="006E499A"/>
    <w:rsid w:val="006E4B70"/>
    <w:rsid w:val="006E58EF"/>
    <w:rsid w:val="006E7195"/>
    <w:rsid w:val="006F18A2"/>
    <w:rsid w:val="006F2DC2"/>
    <w:rsid w:val="006F5246"/>
    <w:rsid w:val="006F58D1"/>
    <w:rsid w:val="006F72AA"/>
    <w:rsid w:val="006F741B"/>
    <w:rsid w:val="006F7E50"/>
    <w:rsid w:val="007002DF"/>
    <w:rsid w:val="00700605"/>
    <w:rsid w:val="00703126"/>
    <w:rsid w:val="007038E5"/>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80969"/>
    <w:rsid w:val="00782550"/>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3775"/>
    <w:rsid w:val="008440CE"/>
    <w:rsid w:val="00844A74"/>
    <w:rsid w:val="00844E0C"/>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60F"/>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42D6"/>
    <w:rsid w:val="0088547A"/>
    <w:rsid w:val="00885C10"/>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A5C"/>
    <w:rsid w:val="00902EED"/>
    <w:rsid w:val="009042AF"/>
    <w:rsid w:val="00906E2C"/>
    <w:rsid w:val="00907AC7"/>
    <w:rsid w:val="00907B8F"/>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00A"/>
    <w:rsid w:val="009326F8"/>
    <w:rsid w:val="00932E20"/>
    <w:rsid w:val="009350DF"/>
    <w:rsid w:val="00935DB0"/>
    <w:rsid w:val="00936976"/>
    <w:rsid w:val="00936A35"/>
    <w:rsid w:val="00940BCE"/>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67C8A"/>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11"/>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449F"/>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448"/>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52A6"/>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9F2"/>
    <w:rsid w:val="00B84B9B"/>
    <w:rsid w:val="00B84F0F"/>
    <w:rsid w:val="00B85818"/>
    <w:rsid w:val="00B85AB4"/>
    <w:rsid w:val="00B8653E"/>
    <w:rsid w:val="00B87C3F"/>
    <w:rsid w:val="00B91F43"/>
    <w:rsid w:val="00B9235C"/>
    <w:rsid w:val="00B92768"/>
    <w:rsid w:val="00B92CF2"/>
    <w:rsid w:val="00B93592"/>
    <w:rsid w:val="00B940B5"/>
    <w:rsid w:val="00B96505"/>
    <w:rsid w:val="00B96819"/>
    <w:rsid w:val="00B96FC8"/>
    <w:rsid w:val="00BA0475"/>
    <w:rsid w:val="00BA0C3C"/>
    <w:rsid w:val="00BA4997"/>
    <w:rsid w:val="00BA5AA3"/>
    <w:rsid w:val="00BA6E7B"/>
    <w:rsid w:val="00BA7871"/>
    <w:rsid w:val="00BB08A2"/>
    <w:rsid w:val="00BB1695"/>
    <w:rsid w:val="00BB1A00"/>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5B89"/>
    <w:rsid w:val="00C06DED"/>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546D"/>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4A9D"/>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F2D"/>
    <w:rsid w:val="00CD7BB6"/>
    <w:rsid w:val="00CE0ABA"/>
    <w:rsid w:val="00CE106C"/>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AAD"/>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2AE1"/>
    <w:rsid w:val="00D64455"/>
    <w:rsid w:val="00D64484"/>
    <w:rsid w:val="00D64B52"/>
    <w:rsid w:val="00D64E64"/>
    <w:rsid w:val="00D66C9C"/>
    <w:rsid w:val="00D706E6"/>
    <w:rsid w:val="00D74318"/>
    <w:rsid w:val="00D76541"/>
    <w:rsid w:val="00D76699"/>
    <w:rsid w:val="00D76C5F"/>
    <w:rsid w:val="00D773D0"/>
    <w:rsid w:val="00D77B2C"/>
    <w:rsid w:val="00D8498D"/>
    <w:rsid w:val="00D87B43"/>
    <w:rsid w:val="00D90138"/>
    <w:rsid w:val="00D90FAD"/>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5C74"/>
    <w:rsid w:val="00DD6A96"/>
    <w:rsid w:val="00DE17F9"/>
    <w:rsid w:val="00DE1891"/>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0CA8"/>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20AE"/>
    <w:rsid w:val="00E52585"/>
    <w:rsid w:val="00E563FB"/>
    <w:rsid w:val="00E56705"/>
    <w:rsid w:val="00E57467"/>
    <w:rsid w:val="00E57AAD"/>
    <w:rsid w:val="00E57BF2"/>
    <w:rsid w:val="00E61319"/>
    <w:rsid w:val="00E61633"/>
    <w:rsid w:val="00E62899"/>
    <w:rsid w:val="00E62BCB"/>
    <w:rsid w:val="00E63528"/>
    <w:rsid w:val="00E64C6E"/>
    <w:rsid w:val="00E6557C"/>
    <w:rsid w:val="00E67F8F"/>
    <w:rsid w:val="00E70ACD"/>
    <w:rsid w:val="00E70C0A"/>
    <w:rsid w:val="00E72398"/>
    <w:rsid w:val="00E728E6"/>
    <w:rsid w:val="00E72B9E"/>
    <w:rsid w:val="00E72C94"/>
    <w:rsid w:val="00E74060"/>
    <w:rsid w:val="00E76216"/>
    <w:rsid w:val="00E76643"/>
    <w:rsid w:val="00E76740"/>
    <w:rsid w:val="00E773EA"/>
    <w:rsid w:val="00E774FB"/>
    <w:rsid w:val="00E804A3"/>
    <w:rsid w:val="00E8167B"/>
    <w:rsid w:val="00E81BE1"/>
    <w:rsid w:val="00E81C9C"/>
    <w:rsid w:val="00E81CF2"/>
    <w:rsid w:val="00E81F3A"/>
    <w:rsid w:val="00E858F3"/>
    <w:rsid w:val="00E87C34"/>
    <w:rsid w:val="00E90855"/>
    <w:rsid w:val="00E93337"/>
    <w:rsid w:val="00E93C72"/>
    <w:rsid w:val="00E94196"/>
    <w:rsid w:val="00E94ABE"/>
    <w:rsid w:val="00E952C0"/>
    <w:rsid w:val="00E95707"/>
    <w:rsid w:val="00E97E35"/>
    <w:rsid w:val="00EA3843"/>
    <w:rsid w:val="00EA3EAF"/>
    <w:rsid w:val="00EA4B88"/>
    <w:rsid w:val="00EA4FC1"/>
    <w:rsid w:val="00EA61C8"/>
    <w:rsid w:val="00EB027C"/>
    <w:rsid w:val="00EB0468"/>
    <w:rsid w:val="00EC0600"/>
    <w:rsid w:val="00EC2F31"/>
    <w:rsid w:val="00EC51EB"/>
    <w:rsid w:val="00EC6154"/>
    <w:rsid w:val="00EC66C5"/>
    <w:rsid w:val="00ED057C"/>
    <w:rsid w:val="00ED0FD8"/>
    <w:rsid w:val="00ED10B1"/>
    <w:rsid w:val="00ED1DA0"/>
    <w:rsid w:val="00ED244E"/>
    <w:rsid w:val="00ED29CC"/>
    <w:rsid w:val="00ED311A"/>
    <w:rsid w:val="00ED39EB"/>
    <w:rsid w:val="00ED4FE2"/>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AE1"/>
    <w:rsid w:val="00EF6382"/>
    <w:rsid w:val="00EF7DEB"/>
    <w:rsid w:val="00F0163B"/>
    <w:rsid w:val="00F0333A"/>
    <w:rsid w:val="00F03D08"/>
    <w:rsid w:val="00F042CB"/>
    <w:rsid w:val="00F04FB3"/>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871DC"/>
    <w:rsid w:val="00F93658"/>
    <w:rsid w:val="00F9439E"/>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0784"/>
    <w:rsid w:val="00FE2892"/>
    <w:rsid w:val="00FE48FC"/>
    <w:rsid w:val="00FE5F59"/>
    <w:rsid w:val="00FE7B41"/>
    <w:rsid w:val="00FE7CF5"/>
    <w:rsid w:val="00FF0112"/>
    <w:rsid w:val="00FF195B"/>
    <w:rsid w:val="00FF1EDE"/>
    <w:rsid w:val="00FF221A"/>
    <w:rsid w:val="00FF2CEB"/>
    <w:rsid w:val="00FF3ABE"/>
    <w:rsid w:val="00FF5155"/>
    <w:rsid w:val="00FF62D7"/>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E521B"/>
  <w15:docId w15:val="{4D9A2F04-91D2-425D-897E-E39F40AA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paragraph" w:styleId="Heading1">
    <w:name w:val="heading 1"/>
    <w:basedOn w:val="Normal"/>
    <w:next w:val="Normal"/>
    <w:link w:val="Heading1Char"/>
    <w:uiPriority w:val="9"/>
    <w:qFormat/>
    <w:rsid w:val="00A44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49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link w:val="ListParagraphChar"/>
    <w:uiPriority w:val="34"/>
    <w:qFormat/>
    <w:rsid w:val="004E7314"/>
    <w:pPr>
      <w:ind w:left="720"/>
      <w:contextualSpacing/>
    </w:pPr>
  </w:style>
  <w:style w:type="character" w:customStyle="1" w:styleId="ListParagraphChar">
    <w:name w:val="List Paragraph Char"/>
    <w:basedOn w:val="DefaultParagraphFont"/>
    <w:link w:val="ListParagraph"/>
    <w:uiPriority w:val="34"/>
    <w:rsid w:val="006D1B43"/>
  </w:style>
  <w:style w:type="table" w:styleId="TableGrid">
    <w:name w:val="Table Grid"/>
    <w:basedOn w:val="TableNormal"/>
    <w:uiPriority w:val="59"/>
    <w:rsid w:val="00902A5C"/>
    <w:pPr>
      <w:spacing w:after="0"/>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4449F"/>
    <w:rPr>
      <w:rFonts w:asciiTheme="majorHAnsi" w:eastAsiaTheme="majorEastAsia" w:hAnsiTheme="majorHAnsi" w:cstheme="majorBidi"/>
      <w:b/>
      <w:bCs/>
      <w:color w:val="4F81BD" w:themeColor="accent1"/>
      <w:sz w:val="26"/>
      <w:szCs w:val="26"/>
      <w:lang w:val="en-IN" w:eastAsia="en-IN"/>
    </w:rPr>
  </w:style>
  <w:style w:type="paragraph" w:customStyle="1" w:styleId="AJMBNK-Heading1">
    <w:name w:val="AJMBNK-Heading 1"/>
    <w:basedOn w:val="Heading1"/>
    <w:autoRedefine/>
    <w:qFormat/>
    <w:rsid w:val="00A4449F"/>
    <w:pPr>
      <w:keepLines w:val="0"/>
      <w:numPr>
        <w:numId w:val="19"/>
      </w:numPr>
      <w:tabs>
        <w:tab w:val="left" w:pos="1134"/>
      </w:tabs>
      <w:spacing w:before="240" w:after="60" w:line="360" w:lineRule="auto"/>
      <w:ind w:right="113"/>
    </w:pPr>
    <w:rPr>
      <w:rFonts w:ascii="Tahoma" w:eastAsia="Times New Roman" w:hAnsi="Tahoma" w:cs="Tahoma"/>
      <w:smallCaps/>
      <w:color w:val="000080"/>
      <w:spacing w:val="20"/>
      <w:kern w:val="32"/>
      <w:lang w:val="en-GB" w:eastAsia="en-IN"/>
    </w:rPr>
  </w:style>
  <w:style w:type="paragraph" w:customStyle="1" w:styleId="AJMBNK-Heading2">
    <w:name w:val="AJMBNK- Heading2"/>
    <w:basedOn w:val="Normal"/>
    <w:autoRedefine/>
    <w:qFormat/>
    <w:rsid w:val="00A4449F"/>
    <w:pPr>
      <w:numPr>
        <w:ilvl w:val="1"/>
        <w:numId w:val="19"/>
      </w:numPr>
      <w:tabs>
        <w:tab w:val="left" w:pos="567"/>
      </w:tabs>
      <w:spacing w:line="276" w:lineRule="auto"/>
      <w:ind w:left="720" w:hanging="426"/>
    </w:pPr>
    <w:rPr>
      <w:rFonts w:eastAsia="Calibri" w:cs="Arial"/>
      <w:b/>
      <w:lang w:val="en-GB" w:eastAsia="en-IN"/>
    </w:rPr>
  </w:style>
  <w:style w:type="paragraph" w:customStyle="1" w:styleId="H3-AJMBNK">
    <w:name w:val="H3-AJMBNK"/>
    <w:basedOn w:val="Normal"/>
    <w:qFormat/>
    <w:rsid w:val="00A4449F"/>
    <w:pPr>
      <w:numPr>
        <w:ilvl w:val="2"/>
        <w:numId w:val="19"/>
      </w:numPr>
      <w:spacing w:line="276" w:lineRule="auto"/>
    </w:pPr>
    <w:rPr>
      <w:rFonts w:ascii="Century Gothic" w:eastAsia="Calibri" w:hAnsi="Century Gothic" w:cs="Times New Roman"/>
      <w:szCs w:val="20"/>
      <w:lang w:val="en-GB" w:eastAsia="en-IN"/>
    </w:rPr>
  </w:style>
  <w:style w:type="character" w:customStyle="1" w:styleId="Heading1Char">
    <w:name w:val="Heading 1 Char"/>
    <w:basedOn w:val="DefaultParagraphFont"/>
    <w:link w:val="Heading1"/>
    <w:uiPriority w:val="9"/>
    <w:rsid w:val="00A444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2347">
      <w:bodyDiv w:val="1"/>
      <w:marLeft w:val="0"/>
      <w:marRight w:val="0"/>
      <w:marTop w:val="0"/>
      <w:marBottom w:val="0"/>
      <w:divBdr>
        <w:top w:val="none" w:sz="0" w:space="0" w:color="auto"/>
        <w:left w:val="none" w:sz="0" w:space="0" w:color="auto"/>
        <w:bottom w:val="none" w:sz="0" w:space="0" w:color="auto"/>
        <w:right w:val="none" w:sz="0" w:space="0" w:color="auto"/>
      </w:divBdr>
    </w:div>
    <w:div w:id="206920886">
      <w:bodyDiv w:val="1"/>
      <w:marLeft w:val="0"/>
      <w:marRight w:val="0"/>
      <w:marTop w:val="0"/>
      <w:marBottom w:val="0"/>
      <w:divBdr>
        <w:top w:val="none" w:sz="0" w:space="0" w:color="auto"/>
        <w:left w:val="none" w:sz="0" w:space="0" w:color="auto"/>
        <w:bottom w:val="none" w:sz="0" w:space="0" w:color="auto"/>
        <w:right w:val="none" w:sz="0" w:space="0" w:color="auto"/>
      </w:divBdr>
    </w:div>
    <w:div w:id="74791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38693-DDE7-4F4B-8AC8-DDD7C0862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Marwan Siddiq</cp:lastModifiedBy>
  <cp:revision>2</cp:revision>
  <dcterms:created xsi:type="dcterms:W3CDTF">2025-09-08T09:02:00Z</dcterms:created>
  <dcterms:modified xsi:type="dcterms:W3CDTF">2025-09-08T09:02:00Z</dcterms:modified>
</cp:coreProperties>
</file>