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157BC184" w:rsidR="003050B7" w:rsidRPr="00E514DA" w:rsidRDefault="00B85D43" w:rsidP="00E514DA">
            <w:pPr>
              <w:spacing w:before="120" w:after="120"/>
              <w:ind w:left="72" w:right="162"/>
              <w:jc w:val="both"/>
              <w:rPr>
                <w:rFonts w:ascii="Calibri" w:hAnsi="Calibri"/>
                <w:lang w:val="en-IN"/>
              </w:rPr>
            </w:pPr>
            <w:r w:rsidRPr="00B85D43">
              <w:rPr>
                <w:rFonts w:ascii="Calibri" w:hAnsi="Calibri"/>
                <w:lang w:val="en-IN"/>
              </w:rPr>
              <w:t>The purpose of this Threat Intelligence Policy is to ensure that SMSA identifies, monitors, and responds to potential cybersecurity threats in a timely and efficient manner. This policy aims to protect the confidentiality, integrity, and availability of SMSA's information assets by proactively managing cybersecurity risks, in line with the guidance provided by ISO 27002.</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32BF1F2B"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B85D43">
              <w:rPr>
                <w:rFonts w:ascii="Calibri" w:hAnsi="Calibri"/>
                <w:lang w:val="en-IN"/>
              </w:rPr>
              <w:t>5.7</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0BBCABAC" w:rsidR="003050B7" w:rsidRPr="004E7314" w:rsidRDefault="00B85D43" w:rsidP="00B85D43">
            <w:pPr>
              <w:spacing w:before="120" w:after="120"/>
              <w:ind w:right="162"/>
              <w:jc w:val="both"/>
              <w:rPr>
                <w:rStyle w:val="Strong"/>
                <w:rFonts w:ascii="Calibri" w:hAnsi="Calibri" w:cs="Tahoma"/>
                <w:b w:val="0"/>
                <w:bCs w:val="0"/>
                <w:lang w:val="en-IN"/>
              </w:rPr>
            </w:pPr>
            <w:r w:rsidRPr="00B85D43">
              <w:rPr>
                <w:rFonts w:ascii="Calibri" w:hAnsi="Calibri" w:cs="Tahoma"/>
                <w:lang w:val="en-IN"/>
              </w:rPr>
              <w:t>This policy applies to all SMSA employees, contractors, and third-party vendors who have access to SMSA's information systems, networks, and data. It covers the processes and procedures for gathering, analysing, and utilizing threat intelligence to mitigate cybersecurity risks.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DFCFA30" w14:textId="451AA53D" w:rsidR="0093200A" w:rsidRPr="0093200A" w:rsidRDefault="0093200A" w:rsidP="0093200A">
            <w:pPr>
              <w:spacing w:after="240"/>
              <w:ind w:right="162"/>
              <w:jc w:val="both"/>
              <w:rPr>
                <w:rFonts w:ascii="Calibri" w:hAnsi="Calibri" w:cs="Tahoma"/>
                <w:lang w:val="en-IN"/>
              </w:rPr>
            </w:pPr>
            <w:r>
              <w:rPr>
                <w:rFonts w:ascii="Calibri" w:hAnsi="Calibri" w:cs="Tahoma"/>
                <w:lang w:val="en-IN"/>
              </w:rPr>
              <w:lastRenderedPageBreak/>
              <w:t xml:space="preserve">Employees &amp; Contractors – </w:t>
            </w:r>
            <w:r w:rsidR="00B85D43" w:rsidRPr="00B85D43">
              <w:rPr>
                <w:rFonts w:ascii="Calibri" w:hAnsi="Calibri" w:cs="Tahoma"/>
                <w:lang w:val="en-IN"/>
              </w:rPr>
              <w:t>Report any suspicious activities or potential threats to the Information Security Department.</w:t>
            </w:r>
          </w:p>
          <w:p w14:paraId="2D16D76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53543957" w14:textId="77777777" w:rsidR="00B85D43" w:rsidRPr="00DC1FAC" w:rsidRDefault="00B85D43" w:rsidP="00B85D43">
            <w:pPr>
              <w:spacing w:after="160" w:line="259" w:lineRule="auto"/>
            </w:pPr>
            <w:r w:rsidRPr="00DC1FAC">
              <w:rPr>
                <w:b/>
                <w:bCs/>
              </w:rPr>
              <w:t>Threat Intelligence:</w:t>
            </w:r>
            <w:r w:rsidRPr="00DC1FAC">
              <w:t xml:space="preserve"> The collection and analysis of information about existing or emerging threats to SMSA's information systems and operations.</w:t>
            </w:r>
          </w:p>
          <w:p w14:paraId="4AABB46C" w14:textId="428339E9" w:rsidR="0098595B" w:rsidRPr="00DC1FAC" w:rsidRDefault="00B85D43" w:rsidP="0098595B">
            <w:pPr>
              <w:spacing w:after="160" w:line="259" w:lineRule="auto"/>
            </w:pPr>
            <w:r w:rsidRPr="00DC1FAC">
              <w:rPr>
                <w:b/>
                <w:bCs/>
              </w:rPr>
              <w:t>Strategic Threat Intelligence:</w:t>
            </w:r>
            <w:r w:rsidRPr="00DC1FAC">
              <w:t xml:space="preserve"> High-level information about the changing threat landscape, such as types of attackers or attacks.</w:t>
            </w:r>
            <w:r w:rsidR="0098595B">
              <w:t xml:space="preserve"> Example:</w:t>
            </w:r>
            <w:r w:rsidR="0098595B" w:rsidRPr="0098595B">
              <w:t xml:space="preserve"> Long-term planning.</w:t>
            </w:r>
            <w:r w:rsidR="0098595B">
              <w:t xml:space="preserve"> </w:t>
            </w:r>
            <w:r w:rsidR="0098595B" w:rsidRPr="0098595B">
              <w:t>Reviewing industry trends in cyber threats and investing in better security for the future.</w:t>
            </w:r>
          </w:p>
          <w:p w14:paraId="6DD1BA8F" w14:textId="55D04172" w:rsidR="00B85D43" w:rsidRPr="00DC1FAC" w:rsidRDefault="00B85D43" w:rsidP="0098595B">
            <w:pPr>
              <w:spacing w:after="160" w:line="259" w:lineRule="auto"/>
            </w:pPr>
            <w:r w:rsidRPr="00DC1FAC">
              <w:rPr>
                <w:b/>
                <w:bCs/>
              </w:rPr>
              <w:t>Tactical Threat Intelligence:</w:t>
            </w:r>
            <w:r w:rsidRPr="00DC1FAC">
              <w:t xml:space="preserve"> Information about attacker methodologies, tools, and technologies.</w:t>
            </w:r>
            <w:r w:rsidR="0098595B" w:rsidRPr="0098595B">
              <w:t xml:space="preserve"> Example: Understanding attack methods.</w:t>
            </w:r>
            <w:r w:rsidR="0098595B">
              <w:t xml:space="preserve"> </w:t>
            </w:r>
            <w:r w:rsidR="0098595B" w:rsidRPr="0098595B">
              <w:t>Learning how hackers exploit a specific vulnerability and fixing it to prevent future attacks.</w:t>
            </w:r>
          </w:p>
          <w:p w14:paraId="21EEE28F" w14:textId="257E3343" w:rsidR="00B85D43" w:rsidRPr="00DC1FAC" w:rsidRDefault="00B85D43" w:rsidP="0098595B">
            <w:pPr>
              <w:spacing w:after="160" w:line="259" w:lineRule="auto"/>
            </w:pPr>
            <w:r w:rsidRPr="00DC1FAC">
              <w:rPr>
                <w:b/>
                <w:bCs/>
              </w:rPr>
              <w:t>Operational Threat Intelligence:</w:t>
            </w:r>
            <w:r w:rsidRPr="00DC1FAC">
              <w:t xml:space="preserve"> Details about specific attacks, including technical indicators.</w:t>
            </w:r>
            <w:r w:rsidR="0098595B">
              <w:t xml:space="preserve"> Example:</w:t>
            </w:r>
            <w:r w:rsidR="0098595B" w:rsidRPr="0098595B">
              <w:t xml:space="preserve"> Immediate action. Spotting and blocking a phishing email right away to protect employees.</w:t>
            </w:r>
          </w:p>
          <w:p w14:paraId="64763CEC" w14:textId="77777777" w:rsidR="00B85D43" w:rsidRPr="00DC1FAC" w:rsidRDefault="00B85D43" w:rsidP="00B85D43">
            <w:pPr>
              <w:spacing w:after="160" w:line="259" w:lineRule="auto"/>
            </w:pPr>
            <w:r w:rsidRPr="00DC1FAC">
              <w:rPr>
                <w:b/>
                <w:bCs/>
              </w:rPr>
              <w:t>Indicators of Compromise (IoC):</w:t>
            </w:r>
            <w:r w:rsidRPr="00DC1FAC">
              <w:t xml:space="preserve"> Observable data that identifies a potential security breach.</w:t>
            </w:r>
          </w:p>
          <w:p w14:paraId="7E7BDFCE" w14:textId="73196AA4" w:rsidR="00B85D43" w:rsidRPr="00B85D43" w:rsidRDefault="00B85D43" w:rsidP="00B85D43">
            <w:pPr>
              <w:spacing w:after="160" w:line="259" w:lineRule="auto"/>
            </w:pPr>
            <w:r w:rsidRPr="00DC1FAC">
              <w:rPr>
                <w:b/>
                <w:bCs/>
              </w:rPr>
              <w:t>Information Assets:</w:t>
            </w:r>
            <w:r w:rsidRPr="00DC1FAC">
              <w:t xml:space="preserve"> Data, information systems, and technology resources that SMSA relies on to conduct business.</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718B37A8" w14:textId="5F051EEF" w:rsidR="0098595B" w:rsidRDefault="0098595B" w:rsidP="0098595B">
            <w:pPr>
              <w:ind w:right="162"/>
              <w:jc w:val="both"/>
            </w:pPr>
            <w:r w:rsidRPr="00DC1FAC">
              <w:t>SMSA is committed to maintaining a robust threat intelligence capability to protect its information assets from cyber threats. This policy outlines the key processes and responsibilities related to the collection, analysis, and dissemination of threat intelligence within SMSA</w:t>
            </w:r>
          </w:p>
          <w:p w14:paraId="7D6ACB30" w14:textId="5EB5FA38" w:rsidR="0098595B" w:rsidRPr="00EF4E11" w:rsidRDefault="0098595B" w:rsidP="0098595B">
            <w:pPr>
              <w:ind w:right="162"/>
              <w:jc w:val="both"/>
              <w:rPr>
                <w:b/>
                <w:bCs/>
                <w:u w:val="single"/>
              </w:rPr>
            </w:pPr>
            <w:r w:rsidRPr="00EF4E11">
              <w:rPr>
                <w:rFonts w:ascii="Calibri" w:hAnsi="Calibri" w:cs="Tahoma"/>
                <w:b/>
                <w:bCs/>
                <w:u w:val="single"/>
                <w:lang w:val="en-IN"/>
              </w:rPr>
              <w:t xml:space="preserve">2 </w:t>
            </w:r>
            <w:r w:rsidRPr="00EF4E11">
              <w:rPr>
                <w:b/>
                <w:bCs/>
                <w:u w:val="single"/>
              </w:rPr>
              <w:t>Threat Intelligence Process</w:t>
            </w:r>
          </w:p>
          <w:p w14:paraId="1A9887D6" w14:textId="10C6FF9B" w:rsidR="0098595B" w:rsidRPr="00DC1FAC" w:rsidRDefault="0098595B" w:rsidP="0098595B">
            <w:pPr>
              <w:rPr>
                <w:b/>
                <w:bCs/>
              </w:rPr>
            </w:pPr>
            <w:r>
              <w:rPr>
                <w:b/>
                <w:bCs/>
              </w:rPr>
              <w:t>2.1</w:t>
            </w:r>
            <w:r w:rsidRPr="00DC1FAC">
              <w:rPr>
                <w:b/>
                <w:bCs/>
              </w:rPr>
              <w:t xml:space="preserve"> Collection</w:t>
            </w:r>
          </w:p>
          <w:p w14:paraId="689FE040" w14:textId="77777777" w:rsidR="0098595B" w:rsidRPr="00DC1FAC" w:rsidRDefault="0098595B" w:rsidP="0098595B">
            <w:pPr>
              <w:spacing w:after="160" w:line="259" w:lineRule="auto"/>
            </w:pPr>
            <w:r w:rsidRPr="00DC1FAC">
              <w:t>SMSA will gather threat intelligence from a variety of sources, including:</w:t>
            </w:r>
          </w:p>
          <w:p w14:paraId="586AEA57" w14:textId="77777777" w:rsidR="0098595B" w:rsidRPr="00DC1FAC" w:rsidRDefault="0098595B" w:rsidP="0098595B">
            <w:pPr>
              <w:pStyle w:val="ListParagraph"/>
              <w:numPr>
                <w:ilvl w:val="0"/>
                <w:numId w:val="22"/>
              </w:numPr>
              <w:spacing w:after="160" w:line="259" w:lineRule="auto"/>
            </w:pPr>
            <w:r w:rsidRPr="00DC1FAC">
              <w:t>Internal security monitoring tools.</w:t>
            </w:r>
          </w:p>
          <w:p w14:paraId="18ACE572" w14:textId="77777777" w:rsidR="0098595B" w:rsidRPr="00DC1FAC" w:rsidRDefault="0098595B" w:rsidP="0098595B">
            <w:pPr>
              <w:pStyle w:val="ListParagraph"/>
              <w:numPr>
                <w:ilvl w:val="0"/>
                <w:numId w:val="22"/>
              </w:numPr>
              <w:spacing w:after="160" w:line="259" w:lineRule="auto"/>
            </w:pPr>
            <w:r w:rsidRPr="00DC1FAC">
              <w:t>External threat intelligence feeds and reports from independent providers, government agencies, and collaborative threat intelligence groups.</w:t>
            </w:r>
          </w:p>
          <w:p w14:paraId="3BEB1816" w14:textId="77777777" w:rsidR="0098595B" w:rsidRPr="00DC1FAC" w:rsidRDefault="0098595B" w:rsidP="0098595B">
            <w:pPr>
              <w:pStyle w:val="ListParagraph"/>
              <w:numPr>
                <w:ilvl w:val="0"/>
                <w:numId w:val="22"/>
              </w:numPr>
              <w:spacing w:after="160" w:line="259" w:lineRule="auto"/>
            </w:pPr>
            <w:r w:rsidRPr="00DC1FAC">
              <w:t>Industry-specific threat intelligence sharing communities.</w:t>
            </w:r>
          </w:p>
          <w:p w14:paraId="4507DD62" w14:textId="77777777" w:rsidR="0098595B" w:rsidRPr="00DC1FAC" w:rsidRDefault="0098595B" w:rsidP="0098595B">
            <w:pPr>
              <w:pStyle w:val="ListParagraph"/>
              <w:numPr>
                <w:ilvl w:val="0"/>
                <w:numId w:val="22"/>
              </w:numPr>
              <w:spacing w:after="160" w:line="259" w:lineRule="auto"/>
            </w:pPr>
            <w:r w:rsidRPr="00DC1FAC">
              <w:t>Information from previous incidents and experiences.</w:t>
            </w:r>
          </w:p>
          <w:p w14:paraId="146F206B" w14:textId="77777777" w:rsidR="0098595B" w:rsidRPr="00EF4E11" w:rsidRDefault="0098595B" w:rsidP="0098595B">
            <w:pPr>
              <w:rPr>
                <w:b/>
                <w:bCs/>
              </w:rPr>
            </w:pPr>
            <w:r w:rsidRPr="00EF4E11">
              <w:rPr>
                <w:rFonts w:ascii="Calibri" w:hAnsi="Calibri" w:cs="Tahoma"/>
                <w:b/>
                <w:bCs/>
              </w:rPr>
              <w:t xml:space="preserve">2.2 </w:t>
            </w:r>
            <w:r w:rsidRPr="00EF4E11">
              <w:rPr>
                <w:b/>
                <w:bCs/>
              </w:rPr>
              <w:t>Analysis</w:t>
            </w:r>
          </w:p>
          <w:p w14:paraId="063B6F62" w14:textId="2311B001" w:rsidR="0098595B" w:rsidRPr="00DC1FAC" w:rsidRDefault="0098595B" w:rsidP="0098595B">
            <w:pPr>
              <w:pStyle w:val="ListParagraph"/>
              <w:numPr>
                <w:ilvl w:val="0"/>
                <w:numId w:val="31"/>
              </w:numPr>
              <w:spacing w:after="160" w:line="259" w:lineRule="auto"/>
            </w:pPr>
            <w:r>
              <w:t>SMSA’s IT Department will</w:t>
            </w:r>
            <w:r w:rsidRPr="00DC1FAC">
              <w:t xml:space="preserve"> analyze the collected threat intelligence across three layers</w:t>
            </w:r>
            <w:r>
              <w:t xml:space="preserve"> – Strategic, tactical and operational threat intelligence </w:t>
            </w:r>
          </w:p>
          <w:p w14:paraId="648E24D7" w14:textId="35E8D63F" w:rsidR="0098595B" w:rsidRPr="00DC1FAC" w:rsidRDefault="0098595B" w:rsidP="0098595B">
            <w:pPr>
              <w:spacing w:after="160" w:line="259" w:lineRule="auto"/>
              <w:ind w:left="1080"/>
            </w:pPr>
          </w:p>
          <w:p w14:paraId="3C283215" w14:textId="77777777" w:rsidR="0098595B" w:rsidRPr="00DC1FAC" w:rsidRDefault="0098595B" w:rsidP="0098595B">
            <w:pPr>
              <w:pStyle w:val="ListParagraph"/>
              <w:numPr>
                <w:ilvl w:val="0"/>
                <w:numId w:val="31"/>
              </w:numPr>
              <w:spacing w:after="160" w:line="259" w:lineRule="auto"/>
            </w:pPr>
            <w:r w:rsidRPr="00DC1FAC">
              <w:t>Threat intelligence will be assessed for relevance, insightfulness, contextual understanding, and actionability.</w:t>
            </w:r>
          </w:p>
          <w:p w14:paraId="7922714D" w14:textId="77777777" w:rsidR="0098595B" w:rsidRPr="00EF4E11" w:rsidRDefault="0098595B" w:rsidP="0098595B">
            <w:pPr>
              <w:rPr>
                <w:b/>
                <w:bCs/>
              </w:rPr>
            </w:pPr>
            <w:r w:rsidRPr="00EF4E11">
              <w:rPr>
                <w:rFonts w:ascii="Calibri" w:hAnsi="Calibri" w:cs="Tahoma"/>
                <w:b/>
                <w:bCs/>
              </w:rPr>
              <w:t xml:space="preserve">2.3 </w:t>
            </w:r>
            <w:r w:rsidRPr="00EF4E11">
              <w:rPr>
                <w:b/>
                <w:bCs/>
              </w:rPr>
              <w:t>Dissemination</w:t>
            </w:r>
          </w:p>
          <w:p w14:paraId="39619D18" w14:textId="213AEF19" w:rsidR="0098595B" w:rsidRPr="00DC1FAC" w:rsidRDefault="0098595B" w:rsidP="0098595B">
            <w:pPr>
              <w:numPr>
                <w:ilvl w:val="0"/>
                <w:numId w:val="32"/>
              </w:numPr>
              <w:spacing w:after="160" w:line="259" w:lineRule="auto"/>
            </w:pPr>
            <w:r w:rsidRPr="00DC1FAC">
              <w:t xml:space="preserve">Relevant threat intelligence will be communicated and shared </w:t>
            </w:r>
            <w:r>
              <w:t xml:space="preserve">by IT </w:t>
            </w:r>
            <w:r w:rsidRPr="00DC1FAC">
              <w:t>with</w:t>
            </w:r>
            <w:r w:rsidR="00603292">
              <w:t xml:space="preserve"> QRM</w:t>
            </w:r>
            <w:r w:rsidRPr="00DC1FAC">
              <w:t>, and relevant business units, in a format that is understandable and actionable.</w:t>
            </w:r>
          </w:p>
          <w:p w14:paraId="70D480F3" w14:textId="77777777" w:rsidR="0098595B" w:rsidRPr="00DC1FAC" w:rsidRDefault="0098595B" w:rsidP="0098595B">
            <w:pPr>
              <w:numPr>
                <w:ilvl w:val="0"/>
                <w:numId w:val="32"/>
              </w:numPr>
              <w:spacing w:after="160" w:line="259" w:lineRule="auto"/>
            </w:pPr>
            <w:r w:rsidRPr="00DC1FAC">
              <w:t>SMSA will share threat intelligence with other organizations on a mutual basis to improve overall threat intelligence.</w:t>
            </w:r>
          </w:p>
          <w:p w14:paraId="60378A00" w14:textId="77777777" w:rsidR="00603292" w:rsidRPr="00EF4E11" w:rsidRDefault="00603292" w:rsidP="00603292">
            <w:pPr>
              <w:rPr>
                <w:b/>
                <w:bCs/>
              </w:rPr>
            </w:pPr>
            <w:r w:rsidRPr="00EF4E11">
              <w:rPr>
                <w:rFonts w:ascii="Calibri" w:hAnsi="Calibri" w:cs="Tahoma"/>
                <w:b/>
                <w:bCs/>
              </w:rPr>
              <w:t xml:space="preserve">2.4 </w:t>
            </w:r>
            <w:r w:rsidRPr="00EF4E11">
              <w:rPr>
                <w:b/>
                <w:bCs/>
              </w:rPr>
              <w:t>Response</w:t>
            </w:r>
          </w:p>
          <w:p w14:paraId="4DB61E15" w14:textId="77777777" w:rsidR="00603292" w:rsidRPr="00DC1FAC" w:rsidRDefault="00603292" w:rsidP="00603292">
            <w:pPr>
              <w:numPr>
                <w:ilvl w:val="0"/>
                <w:numId w:val="33"/>
              </w:numPr>
              <w:spacing w:after="160" w:line="259" w:lineRule="auto"/>
            </w:pPr>
            <w:r w:rsidRPr="00DC1FAC">
              <w:t>SMSA will implement appropriate measures to mitigate identified threats, including updating security controls, patching vulnerabilities, and enhancing monitoring activities.</w:t>
            </w:r>
          </w:p>
          <w:p w14:paraId="5EACDDAD" w14:textId="77777777" w:rsidR="00603292" w:rsidRPr="00DC1FAC" w:rsidRDefault="00603292" w:rsidP="00603292">
            <w:pPr>
              <w:numPr>
                <w:ilvl w:val="0"/>
                <w:numId w:val="33"/>
              </w:numPr>
              <w:spacing w:after="160" w:line="259" w:lineRule="auto"/>
            </w:pPr>
            <w:r w:rsidRPr="00DC1FAC">
              <w:t>Threat intelligence will be integrated into SMSA’s information security risk management processes and technical preventive and detective controls (e.g., firewalls, intrusion detection systems, anti-malware solutions).</w:t>
            </w:r>
          </w:p>
          <w:p w14:paraId="28C10BB8" w14:textId="77777777" w:rsidR="00603292" w:rsidRPr="00DC1FAC" w:rsidRDefault="00603292" w:rsidP="00603292">
            <w:pPr>
              <w:numPr>
                <w:ilvl w:val="0"/>
                <w:numId w:val="33"/>
              </w:numPr>
              <w:spacing w:after="160" w:line="259" w:lineRule="auto"/>
            </w:pPr>
            <w:r w:rsidRPr="00DC1FAC">
              <w:t>Lessons learned from threat intelligence will be used to improve SMSA’s overall security posture and as input to security testing processes and techniques.</w:t>
            </w:r>
          </w:p>
          <w:p w14:paraId="69C645CE" w14:textId="7D7CB787" w:rsidR="00603292" w:rsidRPr="00EF4E11" w:rsidRDefault="00603292" w:rsidP="00603292">
            <w:pPr>
              <w:rPr>
                <w:b/>
                <w:bCs/>
                <w:u w:val="single"/>
              </w:rPr>
            </w:pPr>
            <w:r w:rsidRPr="00EF4E11">
              <w:rPr>
                <w:b/>
                <w:bCs/>
                <w:u w:val="single"/>
              </w:rPr>
              <w:t>3. Threat Intelligence Activities</w:t>
            </w:r>
          </w:p>
          <w:p w14:paraId="7670E492" w14:textId="77777777" w:rsidR="00603292" w:rsidRPr="00DC1FAC" w:rsidRDefault="00603292" w:rsidP="00603292">
            <w:r w:rsidRPr="00DC1FAC">
              <w:t>SMSA will undertake the following activities to ensure effective threat intelligence management:</w:t>
            </w:r>
          </w:p>
          <w:p w14:paraId="63FDB517" w14:textId="77777777" w:rsidR="00603292" w:rsidRPr="00DC1FAC" w:rsidRDefault="00603292" w:rsidP="00603292">
            <w:pPr>
              <w:numPr>
                <w:ilvl w:val="0"/>
                <w:numId w:val="34"/>
              </w:numPr>
              <w:spacing w:after="160" w:line="259" w:lineRule="auto"/>
            </w:pPr>
            <w:r w:rsidRPr="00DC1FAC">
              <w:t>Establishing clear objectives for threat intelligence production.</w:t>
            </w:r>
          </w:p>
          <w:p w14:paraId="17191D88" w14:textId="77777777" w:rsidR="00603292" w:rsidRPr="00DC1FAC" w:rsidRDefault="00603292" w:rsidP="00603292">
            <w:pPr>
              <w:numPr>
                <w:ilvl w:val="0"/>
                <w:numId w:val="34"/>
              </w:numPr>
              <w:spacing w:after="160" w:line="259" w:lineRule="auto"/>
            </w:pPr>
            <w:r w:rsidRPr="00DC1FAC">
              <w:t>Identifying, vetting, and selecting appropriate internal and external information sources.</w:t>
            </w:r>
          </w:p>
          <w:p w14:paraId="398EACA5" w14:textId="77777777" w:rsidR="00603292" w:rsidRPr="00DC1FAC" w:rsidRDefault="00603292" w:rsidP="00603292">
            <w:pPr>
              <w:numPr>
                <w:ilvl w:val="0"/>
                <w:numId w:val="34"/>
              </w:numPr>
              <w:spacing w:after="160" w:line="259" w:lineRule="auto"/>
            </w:pPr>
            <w:r w:rsidRPr="00DC1FAC">
              <w:t>Collecting, processing, and analyzing information from these sources to understand its relevance to SMSA.</w:t>
            </w:r>
          </w:p>
          <w:p w14:paraId="7C946F98" w14:textId="00526266" w:rsidR="0098595B" w:rsidRPr="00603292" w:rsidRDefault="00603292" w:rsidP="00603292">
            <w:pPr>
              <w:numPr>
                <w:ilvl w:val="0"/>
                <w:numId w:val="34"/>
              </w:numPr>
              <w:spacing w:after="160" w:line="259" w:lineRule="auto"/>
            </w:pPr>
            <w:r w:rsidRPr="00DC1FAC">
              <w:t>Communicating analyzed intelligence to relevant stakeholders in a timely and actionable manner.</w:t>
            </w:r>
          </w:p>
          <w:p w14:paraId="066FBFE7" w14:textId="08479CC2" w:rsidR="00A4449F" w:rsidRPr="00363CE0" w:rsidRDefault="00603292"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4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6EB3D2CD" w:rsidR="00A4449F" w:rsidRDefault="00603292"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5 </w:t>
            </w:r>
            <w:r w:rsidR="00A4449F" w:rsidRPr="00363CE0">
              <w:rPr>
                <w:rFonts w:ascii="Calibri" w:hAnsi="Calibri" w:cs="Tahoma"/>
                <w:b/>
                <w:bCs/>
                <w:u w:val="single"/>
                <w:lang w:val="en-IN"/>
              </w:rPr>
              <w:t>Enforcement</w:t>
            </w:r>
            <w:bookmarkEnd w:id="1"/>
            <w:bookmarkEnd w:id="2"/>
          </w:p>
          <w:p w14:paraId="2132EB24" w14:textId="39738438" w:rsidR="000C5F16" w:rsidRPr="000C5F16" w:rsidRDefault="000C5F16" w:rsidP="000C5F16">
            <w:pPr>
              <w:tabs>
                <w:tab w:val="left" w:pos="7380"/>
              </w:tabs>
              <w:rPr>
                <w:rFonts w:ascii="Calibri" w:hAnsi="Calibri" w:cs="Tahoma"/>
                <w:lang w:val="en-IN"/>
              </w:rPr>
            </w:pPr>
            <w:r>
              <w:rPr>
                <w:rFonts w:ascii="Calibri" w:hAnsi="Calibri" w:cs="Tahoma"/>
                <w:lang w:val="en-IN"/>
              </w:rPr>
              <w:tab/>
            </w:r>
          </w:p>
          <w:p w14:paraId="1AE2F20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51EEA00A" w:rsidR="00A4449F" w:rsidRPr="00363CE0" w:rsidRDefault="00603292"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1E1F9DE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73C16933" w:rsidR="00A4449F" w:rsidRPr="00363CE0" w:rsidRDefault="00603292"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8AB5" w14:textId="77777777" w:rsidR="00C9469D" w:rsidRDefault="00C9469D" w:rsidP="003050B7">
      <w:pPr>
        <w:spacing w:after="0"/>
      </w:pPr>
      <w:r>
        <w:separator/>
      </w:r>
    </w:p>
  </w:endnote>
  <w:endnote w:type="continuationSeparator" w:id="0">
    <w:p w14:paraId="2BBDA32A" w14:textId="77777777" w:rsidR="00C9469D" w:rsidRDefault="00C9469D"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5404" w14:textId="77777777" w:rsidR="0036288A" w:rsidRDefault="0036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762F28E3" w:rsidR="00FF6583" w:rsidRPr="00B93592" w:rsidRDefault="00B93592" w:rsidP="000C5F16">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36288A">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36288A">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0A4073A5"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C530" w14:textId="77777777" w:rsidR="0036288A" w:rsidRDefault="0036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4395" w14:textId="77777777" w:rsidR="00C9469D" w:rsidRDefault="00C9469D" w:rsidP="003050B7">
      <w:pPr>
        <w:spacing w:after="0"/>
      </w:pPr>
      <w:r>
        <w:separator/>
      </w:r>
    </w:p>
  </w:footnote>
  <w:footnote w:type="continuationSeparator" w:id="0">
    <w:p w14:paraId="0BBCF5FA" w14:textId="77777777" w:rsidR="00C9469D" w:rsidRDefault="00C9469D"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B2A" w14:textId="77777777" w:rsidR="0036288A" w:rsidRDefault="0036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05BA75BB">
                <wp:extent cx="1204896" cy="339436"/>
                <wp:effectExtent l="0" t="0" r="0" b="381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40031"/>
                        </a:xfrm>
                        <a:prstGeom prst="rect">
                          <a:avLst/>
                        </a:prstGeom>
                      </pic:spPr>
                    </pic:pic>
                  </a:graphicData>
                </a:graphic>
              </wp:inline>
            </w:drawing>
          </w:r>
        </w:p>
      </w:tc>
      <w:tc>
        <w:tcPr>
          <w:tcW w:w="6390" w:type="dxa"/>
        </w:tcPr>
        <w:p w14:paraId="5928F6AD" w14:textId="55C8DD4C" w:rsidR="00FF6583" w:rsidRDefault="00B85D43" w:rsidP="00D10214">
          <w:pPr>
            <w:pStyle w:val="Header"/>
            <w:jc w:val="right"/>
            <w:rPr>
              <w:rFonts w:ascii="Calibri" w:hAnsi="Calibri"/>
              <w:b/>
              <w:noProof/>
              <w:sz w:val="32"/>
            </w:rPr>
          </w:pPr>
          <w:r>
            <w:rPr>
              <w:rFonts w:ascii="Calibri" w:hAnsi="Calibri"/>
              <w:b/>
              <w:noProof/>
              <w:sz w:val="32"/>
            </w:rPr>
            <w:t>Threat Intelligence</w:t>
          </w:r>
          <w:r w:rsidR="00FF2CEB">
            <w:rPr>
              <w:rFonts w:ascii="Calibri" w:hAnsi="Calibri"/>
              <w:b/>
              <w:noProof/>
              <w:sz w:val="32"/>
            </w:rPr>
            <w:t xml:space="preserve"> Policy</w:t>
          </w:r>
        </w:p>
        <w:p w14:paraId="138C37A6" w14:textId="77777777"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FF6583" w:rsidRPr="00607DB0" w:rsidRDefault="00FF6583"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602A" w14:textId="77777777" w:rsidR="0036288A" w:rsidRDefault="0036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E211A"/>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8370FAF"/>
    <w:multiLevelType w:val="multilevel"/>
    <w:tmpl w:val="D20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AF63ED"/>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DD0D24"/>
    <w:multiLevelType w:val="multilevel"/>
    <w:tmpl w:val="9142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82583"/>
    <w:multiLevelType w:val="multilevel"/>
    <w:tmpl w:val="A26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BA4562"/>
    <w:multiLevelType w:val="multilevel"/>
    <w:tmpl w:val="11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4F9D6E48"/>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AC60008"/>
    <w:multiLevelType w:val="hybridMultilevel"/>
    <w:tmpl w:val="793E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A8344F"/>
    <w:multiLevelType w:val="hybridMultilevel"/>
    <w:tmpl w:val="0E3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652961">
    <w:abstractNumId w:val="16"/>
  </w:num>
  <w:num w:numId="2" w16cid:durableId="2094010302">
    <w:abstractNumId w:val="4"/>
  </w:num>
  <w:num w:numId="3" w16cid:durableId="1440297702">
    <w:abstractNumId w:val="20"/>
  </w:num>
  <w:num w:numId="4" w16cid:durableId="1884754145">
    <w:abstractNumId w:val="28"/>
  </w:num>
  <w:num w:numId="5" w16cid:durableId="1090077774">
    <w:abstractNumId w:val="6"/>
  </w:num>
  <w:num w:numId="6" w16cid:durableId="399985397">
    <w:abstractNumId w:val="32"/>
  </w:num>
  <w:num w:numId="7" w16cid:durableId="9839032">
    <w:abstractNumId w:val="7"/>
  </w:num>
  <w:num w:numId="8" w16cid:durableId="1560243054">
    <w:abstractNumId w:val="23"/>
  </w:num>
  <w:num w:numId="9" w16cid:durableId="1317340130">
    <w:abstractNumId w:val="8"/>
  </w:num>
  <w:num w:numId="10" w16cid:durableId="1621916313">
    <w:abstractNumId w:val="5"/>
  </w:num>
  <w:num w:numId="11" w16cid:durableId="409350264">
    <w:abstractNumId w:val="17"/>
  </w:num>
  <w:num w:numId="12" w16cid:durableId="1553273766">
    <w:abstractNumId w:val="3"/>
  </w:num>
  <w:num w:numId="13" w16cid:durableId="385032568">
    <w:abstractNumId w:val="21"/>
  </w:num>
  <w:num w:numId="14" w16cid:durableId="674961875">
    <w:abstractNumId w:val="2"/>
  </w:num>
  <w:num w:numId="15" w16cid:durableId="56822205">
    <w:abstractNumId w:val="26"/>
  </w:num>
  <w:num w:numId="16" w16cid:durableId="1324893011">
    <w:abstractNumId w:val="27"/>
  </w:num>
  <w:num w:numId="17" w16cid:durableId="353195465">
    <w:abstractNumId w:val="25"/>
  </w:num>
  <w:num w:numId="18" w16cid:durableId="1413164070">
    <w:abstractNumId w:val="31"/>
  </w:num>
  <w:num w:numId="19" w16cid:durableId="2018338504">
    <w:abstractNumId w:val="30"/>
  </w:num>
  <w:num w:numId="20" w16cid:durableId="1036155675">
    <w:abstractNumId w:val="1"/>
  </w:num>
  <w:num w:numId="21" w16cid:durableId="1786776961">
    <w:abstractNumId w:val="10"/>
  </w:num>
  <w:num w:numId="22" w16cid:durableId="2020227888">
    <w:abstractNumId w:val="29"/>
  </w:num>
  <w:num w:numId="23" w16cid:durableId="1322461856">
    <w:abstractNumId w:val="14"/>
  </w:num>
  <w:num w:numId="24" w16cid:durableId="1049256470">
    <w:abstractNumId w:val="0"/>
  </w:num>
  <w:num w:numId="25" w16cid:durableId="138034515">
    <w:abstractNumId w:val="15"/>
  </w:num>
  <w:num w:numId="26" w16cid:durableId="1057095966">
    <w:abstractNumId w:val="12"/>
  </w:num>
  <w:num w:numId="27" w16cid:durableId="2030140699">
    <w:abstractNumId w:val="33"/>
  </w:num>
  <w:num w:numId="28" w16cid:durableId="749617209">
    <w:abstractNumId w:val="18"/>
  </w:num>
  <w:num w:numId="29" w16cid:durableId="883248097">
    <w:abstractNumId w:val="19"/>
  </w:num>
  <w:num w:numId="30" w16cid:durableId="775372460">
    <w:abstractNumId w:val="13"/>
  </w:num>
  <w:num w:numId="31" w16cid:durableId="1895504233">
    <w:abstractNumId w:val="9"/>
  </w:num>
  <w:num w:numId="32" w16cid:durableId="1280069570">
    <w:abstractNumId w:val="11"/>
  </w:num>
  <w:num w:numId="33" w16cid:durableId="1811821668">
    <w:abstractNumId w:val="24"/>
  </w:num>
  <w:num w:numId="34" w16cid:durableId="1952440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16"/>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288A"/>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6FC"/>
    <w:rsid w:val="006E2FBD"/>
    <w:rsid w:val="006E3577"/>
    <w:rsid w:val="006E379F"/>
    <w:rsid w:val="006E4048"/>
    <w:rsid w:val="006E4533"/>
    <w:rsid w:val="006E4952"/>
    <w:rsid w:val="006E499A"/>
    <w:rsid w:val="006E4B70"/>
    <w:rsid w:val="006E58EF"/>
    <w:rsid w:val="006E7195"/>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95FED"/>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69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5F11"/>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06AB6A9F-0239-4834-927A-459D5F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24224-40E6-4890-ABE8-5D0E2079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2025-09-08T08:31:00Z</dcterms:created>
  <dcterms:modified xsi:type="dcterms:W3CDTF">2025-09-08T08:31:00Z</dcterms:modified>
</cp:coreProperties>
</file>