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234F170" w14:textId="77777777" w:rsidTr="00980C86">
        <w:tc>
          <w:tcPr>
            <w:tcW w:w="1980" w:type="dxa"/>
          </w:tcPr>
          <w:p w14:paraId="1B3E9602"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6033E715" w14:textId="26D5EF6A" w:rsidR="003050B7" w:rsidRPr="00690A85" w:rsidRDefault="00A243F5" w:rsidP="00A243F5">
            <w:pPr>
              <w:spacing w:before="120" w:after="120"/>
              <w:ind w:right="162"/>
              <w:jc w:val="both"/>
              <w:rPr>
                <w:rFonts w:ascii="Calibri" w:hAnsi="Calibri" w:cs="Tahoma"/>
              </w:rPr>
            </w:pPr>
            <w:r w:rsidRPr="00A243F5">
              <w:rPr>
                <w:rFonts w:ascii="Calibri" w:hAnsi="Calibri" w:cs="Tahoma"/>
              </w:rPr>
              <w:t xml:space="preserve">This policy defines the Information Security Management System (ISMS) roles, responsibilities, authority, and delegation within SMSA. It ensures clear accountability for the establishment, implementation, maintenance, and continual improvement of the ISMS in alignment with ISO/IEC 27001, ISO/IEC 27002 and ISO/IEC 27005. </w:t>
            </w:r>
          </w:p>
        </w:tc>
      </w:tr>
      <w:tr w:rsidR="007B65E2" w:rsidRPr="002928E9" w14:paraId="7EE40F8A" w14:textId="77777777" w:rsidTr="00980C86">
        <w:tc>
          <w:tcPr>
            <w:tcW w:w="1980" w:type="dxa"/>
          </w:tcPr>
          <w:p w14:paraId="76C4D133" w14:textId="01D4BC4C" w:rsidR="007B65E2" w:rsidRDefault="007B65E2" w:rsidP="003050B7">
            <w:pPr>
              <w:spacing w:before="120" w:after="0"/>
              <w:rPr>
                <w:rFonts w:ascii="Calibri" w:hAnsi="Calibri"/>
                <w:b/>
                <w:bCs/>
              </w:rPr>
            </w:pPr>
            <w:r>
              <w:rPr>
                <w:rFonts w:ascii="Calibri" w:hAnsi="Calibri"/>
                <w:b/>
                <w:bCs/>
              </w:rPr>
              <w:t>Reference</w:t>
            </w:r>
          </w:p>
        </w:tc>
        <w:tc>
          <w:tcPr>
            <w:tcW w:w="8640" w:type="dxa"/>
          </w:tcPr>
          <w:p w14:paraId="29FD2E11" w14:textId="77777777" w:rsidR="007B65E2" w:rsidRPr="007B65E2" w:rsidRDefault="007B65E2" w:rsidP="007B65E2">
            <w:pPr>
              <w:spacing w:before="120" w:after="120"/>
              <w:ind w:right="162"/>
              <w:rPr>
                <w:rFonts w:ascii="Calibri" w:hAnsi="Calibri" w:cs="Tahoma"/>
              </w:rPr>
            </w:pPr>
            <w:r w:rsidRPr="007B65E2">
              <w:rPr>
                <w:rFonts w:ascii="Calibri" w:hAnsi="Calibri" w:cs="Tahoma"/>
              </w:rPr>
              <w:t>ISO/IEC 27001:2022 – Clause 5.3 Organizational roles, responsibilities and authorities.</w:t>
            </w:r>
          </w:p>
          <w:p w14:paraId="70DD1BA3" w14:textId="77777777" w:rsidR="007B65E2" w:rsidRPr="007B65E2" w:rsidRDefault="007B65E2" w:rsidP="007B65E2">
            <w:pPr>
              <w:spacing w:before="120" w:after="120"/>
              <w:ind w:right="162"/>
              <w:rPr>
                <w:rFonts w:ascii="Calibri" w:hAnsi="Calibri" w:cs="Tahoma"/>
              </w:rPr>
            </w:pPr>
            <w:r w:rsidRPr="007B65E2">
              <w:rPr>
                <w:rFonts w:ascii="Calibri" w:hAnsi="Calibri" w:cs="Tahoma"/>
              </w:rPr>
              <w:t>ISO/IEC 27001:2022 – Clause 7.2 Competence.</w:t>
            </w:r>
          </w:p>
          <w:p w14:paraId="6D7A37C5" w14:textId="77777777" w:rsidR="007B65E2" w:rsidRPr="007B65E2" w:rsidRDefault="007B65E2" w:rsidP="007B65E2">
            <w:pPr>
              <w:spacing w:before="120" w:after="120"/>
              <w:ind w:right="162"/>
              <w:rPr>
                <w:rFonts w:ascii="Calibri" w:hAnsi="Calibri" w:cs="Tahoma"/>
              </w:rPr>
            </w:pPr>
            <w:r w:rsidRPr="007B65E2">
              <w:rPr>
                <w:rFonts w:ascii="Calibri" w:hAnsi="Calibri" w:cs="Tahoma"/>
              </w:rPr>
              <w:t>ISO/IEC 27001:2022 – Clause 7.3 Awareness.</w:t>
            </w:r>
          </w:p>
          <w:p w14:paraId="04BA6EA4" w14:textId="77777777" w:rsidR="007B65E2" w:rsidRPr="007B65E2" w:rsidRDefault="007B65E2" w:rsidP="007B65E2">
            <w:pPr>
              <w:spacing w:before="120" w:after="120"/>
              <w:ind w:right="162"/>
              <w:rPr>
                <w:rFonts w:ascii="Calibri" w:hAnsi="Calibri" w:cs="Tahoma"/>
              </w:rPr>
            </w:pPr>
            <w:r w:rsidRPr="007B65E2">
              <w:rPr>
                <w:rFonts w:ascii="Calibri" w:hAnsi="Calibri" w:cs="Tahoma"/>
              </w:rPr>
              <w:t>ISO/IEC 27001:2022 Annex A 5.2 – Information security roles and responsibilities.</w:t>
            </w:r>
          </w:p>
          <w:p w14:paraId="779A8B6F" w14:textId="7F33369B" w:rsidR="007B65E2" w:rsidRPr="00A243F5" w:rsidRDefault="007B65E2" w:rsidP="007B65E2">
            <w:pPr>
              <w:spacing w:before="120" w:after="120"/>
              <w:ind w:right="162"/>
              <w:jc w:val="both"/>
              <w:rPr>
                <w:rFonts w:ascii="Calibri" w:hAnsi="Calibri" w:cs="Tahoma"/>
              </w:rPr>
            </w:pPr>
            <w:r w:rsidRPr="007B65E2">
              <w:rPr>
                <w:rFonts w:ascii="Calibri" w:hAnsi="Calibri" w:cs="Tahoma"/>
              </w:rPr>
              <w:t>ISO/IEC 27001:2022 Annex A 5.3 – Segregation of duties.</w:t>
            </w:r>
          </w:p>
        </w:tc>
      </w:tr>
      <w:tr w:rsidR="00A30946" w:rsidRPr="002928E9" w14:paraId="6E8CAE22" w14:textId="77777777" w:rsidTr="00980C86">
        <w:tc>
          <w:tcPr>
            <w:tcW w:w="1980" w:type="dxa"/>
          </w:tcPr>
          <w:p w14:paraId="041F233E" w14:textId="77777777" w:rsidR="00A30946" w:rsidRDefault="00A30946" w:rsidP="003050B7">
            <w:pPr>
              <w:spacing w:before="120" w:after="120"/>
              <w:rPr>
                <w:rFonts w:ascii="Calibri" w:hAnsi="Calibri"/>
                <w:b/>
                <w:bCs/>
              </w:rPr>
            </w:pPr>
            <w:r>
              <w:rPr>
                <w:rFonts w:ascii="Calibri" w:hAnsi="Calibri"/>
                <w:b/>
                <w:bCs/>
              </w:rPr>
              <w:t>Scope</w:t>
            </w:r>
          </w:p>
        </w:tc>
        <w:tc>
          <w:tcPr>
            <w:tcW w:w="8640" w:type="dxa"/>
          </w:tcPr>
          <w:p w14:paraId="60C13149" w14:textId="26A0FE2E" w:rsidR="00A30946" w:rsidRPr="00310259" w:rsidRDefault="00E2362B" w:rsidP="00E2362B">
            <w:pPr>
              <w:spacing w:before="120" w:after="120"/>
              <w:ind w:right="162"/>
              <w:jc w:val="both"/>
              <w:rPr>
                <w:rStyle w:val="Strong"/>
                <w:rFonts w:ascii="Calibri" w:hAnsi="Calibri" w:cs="Tahoma"/>
                <w:b w:val="0"/>
                <w:bCs w:val="0"/>
              </w:rPr>
            </w:pPr>
            <w:r w:rsidRPr="00E2362B">
              <w:rPr>
                <w:rFonts w:ascii="Calibri" w:hAnsi="Calibri" w:cs="Tahoma"/>
              </w:rPr>
              <w:t>This policy applies to all SMSA employees, contractors, and third parties whose activities fall within the scope of the ISMS. It defines governance and information security responsibilities across applicable business and IT functions</w:t>
            </w:r>
            <w:r w:rsidR="007B65E2">
              <w:rPr>
                <w:rFonts w:ascii="Calibri" w:hAnsi="Calibri" w:cs="Tahoma"/>
              </w:rPr>
              <w:t xml:space="preserve"> within approved ISMS scope.</w:t>
            </w:r>
          </w:p>
        </w:tc>
      </w:tr>
      <w:tr w:rsidR="00BE635A" w:rsidRPr="002928E9" w14:paraId="033D3DCA" w14:textId="77777777" w:rsidTr="00980C86">
        <w:tc>
          <w:tcPr>
            <w:tcW w:w="1980" w:type="dxa"/>
          </w:tcPr>
          <w:p w14:paraId="03F5560D" w14:textId="2EC730BF" w:rsidR="00BE635A" w:rsidRDefault="00BE635A" w:rsidP="003050B7">
            <w:pPr>
              <w:spacing w:before="120" w:after="120"/>
              <w:rPr>
                <w:rFonts w:ascii="Calibri" w:hAnsi="Calibri"/>
                <w:b/>
                <w:bCs/>
              </w:rPr>
            </w:pPr>
            <w:r>
              <w:rPr>
                <w:rFonts w:ascii="Calibri" w:hAnsi="Calibri"/>
                <w:b/>
                <w:bCs/>
              </w:rPr>
              <w:t>Policy Statement</w:t>
            </w:r>
          </w:p>
        </w:tc>
        <w:tc>
          <w:tcPr>
            <w:tcW w:w="8640" w:type="dxa"/>
          </w:tcPr>
          <w:p w14:paraId="75F2EB63" w14:textId="5B56E176" w:rsidR="00BE635A" w:rsidRDefault="00BE635A" w:rsidP="00BE635A">
            <w:pPr>
              <w:spacing w:before="120" w:after="120"/>
              <w:ind w:right="162"/>
              <w:jc w:val="both"/>
              <w:rPr>
                <w:rFonts w:ascii="Calibri" w:hAnsi="Calibri" w:cs="Tahoma"/>
              </w:rPr>
            </w:pPr>
            <w:r w:rsidRPr="00BE635A">
              <w:rPr>
                <w:rFonts w:ascii="Calibri" w:hAnsi="Calibri" w:cs="Tahoma"/>
              </w:rPr>
              <w:t>SMSA is committed to establishing and maintaining a structured governance framework for information security. Clear roles, responsibilities, and authorities shall be assigned and communicated to ensure effective ISMS implementation and continual improvement.</w:t>
            </w:r>
          </w:p>
        </w:tc>
      </w:tr>
      <w:tr w:rsidR="009C11CF" w:rsidRPr="002928E9" w14:paraId="096ABF9F" w14:textId="77777777" w:rsidTr="00980C86">
        <w:tc>
          <w:tcPr>
            <w:tcW w:w="1980" w:type="dxa"/>
          </w:tcPr>
          <w:p w14:paraId="57BB658A" w14:textId="4084F539" w:rsidR="009C11CF" w:rsidRDefault="009C11CF" w:rsidP="009C11CF">
            <w:pPr>
              <w:spacing w:before="120" w:after="120"/>
              <w:rPr>
                <w:rFonts w:ascii="Calibri" w:hAnsi="Calibri"/>
                <w:b/>
                <w:bCs/>
              </w:rPr>
            </w:pPr>
            <w:r w:rsidRPr="009C11CF">
              <w:rPr>
                <w:rFonts w:ascii="Calibri" w:hAnsi="Calibri"/>
                <w:b/>
                <w:bCs/>
              </w:rPr>
              <w:t>ISMS Authority and Delegation</w:t>
            </w:r>
          </w:p>
        </w:tc>
        <w:tc>
          <w:tcPr>
            <w:tcW w:w="8640" w:type="dxa"/>
          </w:tcPr>
          <w:p w14:paraId="6BE5FDEE" w14:textId="77777777" w:rsidR="009C11CF" w:rsidRPr="009C11CF" w:rsidRDefault="009C11CF" w:rsidP="009C11CF">
            <w:pPr>
              <w:spacing w:before="120" w:after="120"/>
              <w:ind w:right="162"/>
              <w:jc w:val="both"/>
              <w:rPr>
                <w:rFonts w:ascii="Calibri" w:hAnsi="Calibri" w:cs="Tahoma"/>
              </w:rPr>
            </w:pPr>
            <w:r w:rsidRPr="009C11CF">
              <w:rPr>
                <w:rFonts w:ascii="Calibri" w:hAnsi="Calibri" w:cs="Tahoma"/>
              </w:rPr>
              <w:t>The Chief Technology Officer (CTO) is the Authorized Authority for the ISMS and retains overall accountability for information security governance at SMSA.</w:t>
            </w:r>
          </w:p>
          <w:p w14:paraId="714B8F8A" w14:textId="662F0939" w:rsidR="009C11CF" w:rsidRPr="009C11CF" w:rsidRDefault="009C11CF" w:rsidP="00BE635A">
            <w:pPr>
              <w:spacing w:before="120" w:after="120"/>
              <w:ind w:right="162"/>
              <w:jc w:val="both"/>
              <w:rPr>
                <w:rFonts w:ascii="Calibri" w:hAnsi="Calibri" w:cs="Tahoma"/>
              </w:rPr>
            </w:pPr>
            <w:r w:rsidRPr="009C11CF">
              <w:rPr>
                <w:rFonts w:ascii="Calibri" w:hAnsi="Calibri" w:cs="Tahoma"/>
              </w:rPr>
              <w:t>The CTO has formally delegated operational authority for the implementation, maintenance management of the ISMS to the National Manager – Information Technology, who is appointed as the ISMS Management Representative (MR).</w:t>
            </w:r>
            <w:r w:rsidR="00BE635A" w:rsidRPr="00BE635A">
              <w:t xml:space="preserve"> </w:t>
            </w:r>
            <w:r w:rsidR="00BE635A" w:rsidRPr="00BE635A">
              <w:rPr>
                <w:rFonts w:ascii="Calibri" w:hAnsi="Calibri" w:cs="Tahoma"/>
              </w:rPr>
              <w:t>Operational tasks may be delegated within ITD; however, accountability for ISMS effectiveness remains with the designated authority.</w:t>
            </w:r>
          </w:p>
          <w:p w14:paraId="4B334855" w14:textId="505F260F" w:rsidR="009C11CF" w:rsidRPr="009C11CF" w:rsidRDefault="009C11CF" w:rsidP="009C11CF">
            <w:pPr>
              <w:spacing w:before="120" w:after="120"/>
              <w:ind w:right="162"/>
              <w:jc w:val="both"/>
              <w:rPr>
                <w:rFonts w:ascii="Calibri" w:hAnsi="Calibri" w:cs="Tahoma"/>
              </w:rPr>
            </w:pPr>
            <w:r w:rsidRPr="009C11CF">
              <w:rPr>
                <w:rFonts w:ascii="Calibri" w:hAnsi="Calibri" w:cs="Tahoma"/>
              </w:rPr>
              <w:t>This delegation authorizes the ISMS Management Representative to coordinate ISMS activities, enforce ISMS requirements within IT, manage risks and incidents, report ISMS performance</w:t>
            </w:r>
            <w:r>
              <w:rPr>
                <w:rFonts w:ascii="Calibri" w:hAnsi="Calibri" w:cs="Tahoma"/>
              </w:rPr>
              <w:t xml:space="preserve"> </w:t>
            </w:r>
            <w:r w:rsidRPr="009C11CF">
              <w:rPr>
                <w:rFonts w:ascii="Calibri" w:hAnsi="Calibri" w:cs="Tahoma"/>
              </w:rPr>
              <w:t>and represent SMSA during ISMS</w:t>
            </w:r>
            <w:r>
              <w:rPr>
                <w:rFonts w:ascii="Calibri" w:hAnsi="Calibri" w:cs="Tahoma"/>
              </w:rPr>
              <w:t xml:space="preserve"> </w:t>
            </w:r>
            <w:r w:rsidRPr="009C11CF">
              <w:rPr>
                <w:rFonts w:ascii="Calibri" w:hAnsi="Calibri" w:cs="Tahoma"/>
              </w:rPr>
              <w:t>related audits and assessments. Strategic accountability and final approval authority remain with the CTO.</w:t>
            </w:r>
          </w:p>
        </w:tc>
      </w:tr>
      <w:tr w:rsidR="009C11CF" w:rsidRPr="002928E9" w14:paraId="3718C83A" w14:textId="77777777" w:rsidTr="00980C86">
        <w:tc>
          <w:tcPr>
            <w:tcW w:w="1980" w:type="dxa"/>
          </w:tcPr>
          <w:p w14:paraId="637E77A0" w14:textId="0BB0798D" w:rsidR="009C11CF" w:rsidRDefault="009C11CF" w:rsidP="009C11CF">
            <w:pPr>
              <w:spacing w:before="120" w:after="120"/>
              <w:rPr>
                <w:rFonts w:ascii="Calibri" w:hAnsi="Calibri"/>
                <w:b/>
                <w:bCs/>
              </w:rPr>
            </w:pPr>
            <w:r w:rsidRPr="009C11CF">
              <w:rPr>
                <w:rFonts w:ascii="Calibri" w:hAnsi="Calibri"/>
                <w:b/>
                <w:bCs/>
              </w:rPr>
              <w:t>ISMS Roles and Responsibilities</w:t>
            </w:r>
          </w:p>
        </w:tc>
        <w:tc>
          <w:tcPr>
            <w:tcW w:w="8640" w:type="dxa"/>
          </w:tcPr>
          <w:p w14:paraId="2688163F" w14:textId="7FC97871" w:rsidR="009C11CF" w:rsidRPr="009C11CF" w:rsidRDefault="009C11CF" w:rsidP="009C11CF">
            <w:pPr>
              <w:spacing w:before="120" w:after="120"/>
              <w:ind w:right="162"/>
              <w:jc w:val="both"/>
              <w:rPr>
                <w:rFonts w:ascii="Calibri" w:hAnsi="Calibri" w:cs="Tahoma"/>
                <w:b/>
                <w:bCs/>
              </w:rPr>
            </w:pPr>
            <w:r w:rsidRPr="009C11CF">
              <w:rPr>
                <w:rFonts w:ascii="Calibri" w:hAnsi="Calibri" w:cs="Tahoma"/>
                <w:b/>
                <w:bCs/>
              </w:rPr>
              <w:t>1</w:t>
            </w:r>
            <w:r>
              <w:rPr>
                <w:rFonts w:ascii="Calibri" w:hAnsi="Calibri" w:cs="Tahoma"/>
                <w:b/>
                <w:bCs/>
              </w:rPr>
              <w:t>.</w:t>
            </w:r>
            <w:r w:rsidRPr="009C11CF">
              <w:rPr>
                <w:rFonts w:ascii="Calibri" w:hAnsi="Calibri" w:cs="Tahoma"/>
                <w:b/>
                <w:bCs/>
              </w:rPr>
              <w:t xml:space="preserve"> Top Management Level</w:t>
            </w:r>
          </w:p>
          <w:p w14:paraId="4DCA3EFC" w14:textId="77777777" w:rsidR="009C11CF" w:rsidRDefault="009C11CF" w:rsidP="009C11CF">
            <w:pPr>
              <w:spacing w:before="120" w:after="120"/>
              <w:ind w:right="162"/>
              <w:jc w:val="both"/>
              <w:rPr>
                <w:rFonts w:ascii="Calibri" w:hAnsi="Calibri" w:cs="Tahoma"/>
              </w:rPr>
            </w:pPr>
            <w:r w:rsidRPr="009C11CF">
              <w:rPr>
                <w:rFonts w:ascii="Calibri" w:hAnsi="Calibri" w:cs="Tahoma"/>
              </w:rPr>
              <w:t>The CTO provides leadership and direction for the ISMS, approves ISMS policies and objectives, ensures alignment with business and regulatory requirements, provides adequate resources, supports risk-based decision making, reviews ISMS performance, and approves significant ISMS changes and acceptance of residual risks.</w:t>
            </w:r>
          </w:p>
          <w:p w14:paraId="6E371F9A" w14:textId="21B0C41B" w:rsidR="009C11CF" w:rsidRPr="009C11CF" w:rsidRDefault="009C11CF" w:rsidP="009C11CF">
            <w:pPr>
              <w:spacing w:before="120" w:after="120"/>
              <w:ind w:right="162"/>
              <w:jc w:val="both"/>
              <w:rPr>
                <w:rFonts w:ascii="Calibri" w:hAnsi="Calibri" w:cs="Tahoma"/>
                <w:b/>
                <w:bCs/>
              </w:rPr>
            </w:pPr>
            <w:r w:rsidRPr="009C11CF">
              <w:rPr>
                <w:rFonts w:ascii="Calibri" w:hAnsi="Calibri" w:cs="Tahoma"/>
                <w:b/>
                <w:bCs/>
              </w:rPr>
              <w:t>2</w:t>
            </w:r>
            <w:r>
              <w:rPr>
                <w:rFonts w:ascii="Calibri" w:hAnsi="Calibri" w:cs="Tahoma"/>
                <w:b/>
                <w:bCs/>
              </w:rPr>
              <w:t>.</w:t>
            </w:r>
            <w:r w:rsidRPr="009C11CF">
              <w:rPr>
                <w:rFonts w:ascii="Calibri" w:hAnsi="Calibri" w:cs="Tahoma"/>
                <w:b/>
                <w:bCs/>
              </w:rPr>
              <w:t xml:space="preserve"> Middle Management / Supervisory Level</w:t>
            </w:r>
          </w:p>
          <w:p w14:paraId="53C4416B" w14:textId="1EEDB335" w:rsidR="009C11CF" w:rsidRPr="009C11CF" w:rsidRDefault="009C11CF" w:rsidP="009C11CF">
            <w:pPr>
              <w:spacing w:before="120" w:after="120"/>
              <w:ind w:right="162"/>
              <w:jc w:val="both"/>
              <w:rPr>
                <w:rFonts w:ascii="Calibri" w:hAnsi="Calibri" w:cs="Tahoma"/>
              </w:rPr>
            </w:pPr>
            <w:r w:rsidRPr="009C11CF">
              <w:rPr>
                <w:rFonts w:ascii="Calibri" w:hAnsi="Calibri" w:cs="Tahoma"/>
              </w:rPr>
              <w:t xml:space="preserve">The National Manager – IT, as ISMS Management Representative, is responsible for implementing, maintaining, and continually improving the ISMS. This includes coordinating risk management activities, ensuring implementation of ISMS controls, monitoring compliance, managing incidents and </w:t>
            </w:r>
            <w:proofErr w:type="spellStart"/>
            <w:r w:rsidRPr="009C11CF">
              <w:rPr>
                <w:rFonts w:ascii="Calibri" w:hAnsi="Calibri" w:cs="Tahoma"/>
              </w:rPr>
              <w:t>non</w:t>
            </w:r>
            <w:r>
              <w:rPr>
                <w:rFonts w:ascii="Calibri" w:hAnsi="Calibri" w:cs="Tahoma"/>
              </w:rPr>
              <w:t xml:space="preserve"> </w:t>
            </w:r>
            <w:r w:rsidRPr="009C11CF">
              <w:rPr>
                <w:rFonts w:ascii="Calibri" w:hAnsi="Calibri" w:cs="Tahoma"/>
              </w:rPr>
              <w:t>conformities</w:t>
            </w:r>
            <w:proofErr w:type="spellEnd"/>
            <w:r w:rsidRPr="009C11CF">
              <w:rPr>
                <w:rFonts w:ascii="Calibri" w:hAnsi="Calibri" w:cs="Tahoma"/>
              </w:rPr>
              <w:t>, coordinating internal and external audits, and reporting ISMS performance and risks to the Authorized Authority.</w:t>
            </w:r>
          </w:p>
          <w:p w14:paraId="2B0E840F" w14:textId="7AFB5105" w:rsidR="009C11CF" w:rsidRDefault="009C11CF" w:rsidP="009C11CF">
            <w:pPr>
              <w:spacing w:before="120" w:after="120"/>
              <w:ind w:right="162"/>
              <w:jc w:val="both"/>
              <w:rPr>
                <w:rFonts w:ascii="Calibri" w:hAnsi="Calibri" w:cs="Tahoma"/>
              </w:rPr>
            </w:pPr>
            <w:r w:rsidRPr="009C11CF">
              <w:rPr>
                <w:rFonts w:ascii="Calibri" w:hAnsi="Calibri" w:cs="Tahoma"/>
              </w:rPr>
              <w:lastRenderedPageBreak/>
              <w:t>IT managers, supervisors, and team leads are responsible for enforcing ISMS requirements within their areas of control, ensuring staff compliance, identifying and escalating information security risks and incidents, supporting audits and corrective actions, and ensuring information security is integrated into daily operations, projects</w:t>
            </w:r>
            <w:r>
              <w:rPr>
                <w:rFonts w:ascii="Calibri" w:hAnsi="Calibri" w:cs="Tahoma"/>
              </w:rPr>
              <w:t xml:space="preserve"> </w:t>
            </w:r>
            <w:r w:rsidRPr="009C11CF">
              <w:rPr>
                <w:rFonts w:ascii="Calibri" w:hAnsi="Calibri" w:cs="Tahoma"/>
              </w:rPr>
              <w:t>and system changes.</w:t>
            </w:r>
          </w:p>
          <w:p w14:paraId="6C66D536" w14:textId="01797D13" w:rsidR="009C11CF" w:rsidRPr="009C11CF" w:rsidRDefault="009C11CF" w:rsidP="009C11CF">
            <w:pPr>
              <w:spacing w:before="120" w:after="120"/>
              <w:ind w:right="162"/>
              <w:jc w:val="both"/>
              <w:rPr>
                <w:rFonts w:ascii="Calibri" w:hAnsi="Calibri" w:cs="Tahoma"/>
                <w:b/>
                <w:bCs/>
              </w:rPr>
            </w:pPr>
            <w:r w:rsidRPr="009C11CF">
              <w:rPr>
                <w:rFonts w:ascii="Calibri" w:hAnsi="Calibri" w:cs="Tahoma"/>
                <w:b/>
                <w:bCs/>
              </w:rPr>
              <w:t>3</w:t>
            </w:r>
            <w:r>
              <w:rPr>
                <w:rFonts w:ascii="Calibri" w:hAnsi="Calibri" w:cs="Tahoma"/>
                <w:b/>
                <w:bCs/>
              </w:rPr>
              <w:t>.</w:t>
            </w:r>
            <w:r w:rsidRPr="009C11CF">
              <w:rPr>
                <w:rFonts w:ascii="Calibri" w:hAnsi="Calibri" w:cs="Tahoma"/>
                <w:b/>
                <w:bCs/>
              </w:rPr>
              <w:t xml:space="preserve"> Operational / Staff Level</w:t>
            </w:r>
          </w:p>
          <w:p w14:paraId="05C02359" w14:textId="783269A3" w:rsidR="009C11CF" w:rsidRPr="009C11CF" w:rsidRDefault="009C11CF" w:rsidP="00F336A8">
            <w:pPr>
              <w:spacing w:before="120" w:after="120"/>
              <w:ind w:right="162"/>
              <w:jc w:val="both"/>
              <w:rPr>
                <w:rFonts w:ascii="Calibri" w:hAnsi="Calibri" w:cs="Tahoma"/>
              </w:rPr>
            </w:pPr>
            <w:r w:rsidRPr="009C11CF">
              <w:rPr>
                <w:rFonts w:ascii="Calibri" w:hAnsi="Calibri" w:cs="Tahoma"/>
              </w:rPr>
              <w:t xml:space="preserve">IT staff and </w:t>
            </w:r>
            <w:r>
              <w:rPr>
                <w:rFonts w:ascii="Calibri" w:hAnsi="Calibri" w:cs="Tahoma"/>
              </w:rPr>
              <w:t>applicable vendors</w:t>
            </w:r>
            <w:r w:rsidRPr="009C11CF">
              <w:rPr>
                <w:rFonts w:ascii="Calibri" w:hAnsi="Calibri" w:cs="Tahoma"/>
              </w:rPr>
              <w:t xml:space="preserve"> within the ISMS scope are responsible for complying with ISMS policies and procedures, protecting information assets under their control, following access control and operational security requirements, reporting information security incidents or weaknesses immediately, participating in ISMS awareness activities, and supporting audits and investigations when required.</w:t>
            </w:r>
          </w:p>
        </w:tc>
      </w:tr>
      <w:tr w:rsidR="00BE635A" w:rsidRPr="002928E9" w14:paraId="4B3C9DC6" w14:textId="77777777" w:rsidTr="00980C86">
        <w:tc>
          <w:tcPr>
            <w:tcW w:w="1980" w:type="dxa"/>
          </w:tcPr>
          <w:p w14:paraId="786506EE" w14:textId="22D7A1F6" w:rsidR="00BE635A" w:rsidRPr="00BE635A" w:rsidRDefault="00BE635A" w:rsidP="00BE635A">
            <w:pPr>
              <w:spacing w:before="120" w:after="120"/>
              <w:ind w:right="162"/>
              <w:jc w:val="both"/>
              <w:rPr>
                <w:rFonts w:ascii="Calibri" w:hAnsi="Calibri" w:cs="Tahoma"/>
                <w:b/>
                <w:bCs/>
              </w:rPr>
            </w:pPr>
            <w:r w:rsidRPr="00BE635A">
              <w:rPr>
                <w:rFonts w:ascii="Calibri" w:hAnsi="Calibri" w:cs="Tahoma"/>
                <w:b/>
                <w:bCs/>
              </w:rPr>
              <w:lastRenderedPageBreak/>
              <w:t>Segregation</w:t>
            </w:r>
            <w:r>
              <w:rPr>
                <w:rFonts w:ascii="Calibri" w:hAnsi="Calibri" w:cs="Tahoma"/>
                <w:b/>
                <w:bCs/>
              </w:rPr>
              <w:t xml:space="preserve"> </w:t>
            </w:r>
            <w:r w:rsidRPr="00BE635A">
              <w:rPr>
                <w:rFonts w:ascii="Calibri" w:hAnsi="Calibri" w:cs="Tahoma"/>
                <w:b/>
                <w:bCs/>
              </w:rPr>
              <w:t>of Duties</w:t>
            </w:r>
          </w:p>
          <w:p w14:paraId="0F66748E" w14:textId="77777777" w:rsidR="00BE635A" w:rsidRPr="009C11CF" w:rsidRDefault="00BE635A" w:rsidP="009C11CF">
            <w:pPr>
              <w:spacing w:before="120" w:after="120"/>
              <w:rPr>
                <w:rFonts w:ascii="Calibri" w:hAnsi="Calibri"/>
                <w:b/>
                <w:bCs/>
              </w:rPr>
            </w:pPr>
          </w:p>
        </w:tc>
        <w:tc>
          <w:tcPr>
            <w:tcW w:w="8640" w:type="dxa"/>
          </w:tcPr>
          <w:p w14:paraId="68922FB2" w14:textId="58EBA610" w:rsidR="00BE635A" w:rsidRPr="00BE635A" w:rsidRDefault="00BE635A" w:rsidP="00E2362B">
            <w:pPr>
              <w:spacing w:before="120" w:after="120"/>
              <w:ind w:right="162"/>
              <w:jc w:val="both"/>
              <w:rPr>
                <w:rFonts w:ascii="Calibri" w:hAnsi="Calibri" w:cs="Tahoma"/>
              </w:rPr>
            </w:pPr>
            <w:r w:rsidRPr="00BE635A">
              <w:rPr>
                <w:rFonts w:ascii="Calibri" w:hAnsi="Calibri" w:cs="Tahoma"/>
              </w:rPr>
              <w:t>SMSA shall ensure that conflicting duties are appropriately separated to reduce the risk of fraud, misuse, or error. No individual shall have end-to-end control over critical processes without oversight. Detailed enforcement of segregation of duties is defined in the Access Control Policy and supporting procedures.</w:t>
            </w:r>
            <w:r w:rsidR="00E2362B" w:rsidRPr="00E2362B">
              <w:t xml:space="preserve"> </w:t>
            </w:r>
            <w:r w:rsidR="00E2362B" w:rsidRPr="00E2362B">
              <w:rPr>
                <w:rFonts w:ascii="Calibri" w:hAnsi="Calibri" w:cs="Tahoma"/>
              </w:rPr>
              <w:t>Periodic review of privileged access and critical role assignments shall be conducted to maintain effective segregation.</w:t>
            </w:r>
          </w:p>
        </w:tc>
      </w:tr>
      <w:tr w:rsidR="00F336A8" w:rsidRPr="002928E9" w14:paraId="21C2E83B" w14:textId="77777777" w:rsidTr="00980C86">
        <w:tc>
          <w:tcPr>
            <w:tcW w:w="1980" w:type="dxa"/>
          </w:tcPr>
          <w:p w14:paraId="188268BB" w14:textId="024CBF0E" w:rsidR="00F336A8" w:rsidRPr="009C11CF" w:rsidRDefault="00F336A8" w:rsidP="00F336A8">
            <w:pPr>
              <w:spacing w:before="120" w:after="120"/>
              <w:rPr>
                <w:rFonts w:ascii="Calibri" w:hAnsi="Calibri"/>
                <w:b/>
                <w:bCs/>
              </w:rPr>
            </w:pPr>
            <w:r w:rsidRPr="00F336A8">
              <w:rPr>
                <w:rFonts w:ascii="Calibri" w:hAnsi="Calibri"/>
                <w:b/>
                <w:bCs/>
              </w:rPr>
              <w:t>Reporting and Escalation</w:t>
            </w:r>
          </w:p>
        </w:tc>
        <w:tc>
          <w:tcPr>
            <w:tcW w:w="8640" w:type="dxa"/>
          </w:tcPr>
          <w:p w14:paraId="5DF882E8" w14:textId="42ACCF91" w:rsidR="00423483" w:rsidRPr="00423483" w:rsidRDefault="00423483" w:rsidP="00BE635A">
            <w:pPr>
              <w:spacing w:before="120" w:after="120"/>
              <w:ind w:right="162"/>
              <w:jc w:val="both"/>
              <w:rPr>
                <w:rFonts w:ascii="Calibri" w:hAnsi="Calibri" w:cs="Tahoma"/>
              </w:rPr>
            </w:pPr>
            <w:r w:rsidRPr="00423483">
              <w:rPr>
                <w:rFonts w:ascii="Calibri" w:hAnsi="Calibri" w:cs="Tahoma"/>
              </w:rPr>
              <w:t xml:space="preserve">Information security risks, incidents and </w:t>
            </w:r>
            <w:proofErr w:type="spellStart"/>
            <w:r w:rsidRPr="00423483">
              <w:rPr>
                <w:rFonts w:ascii="Calibri" w:hAnsi="Calibri" w:cs="Tahoma"/>
              </w:rPr>
              <w:t>non conformities</w:t>
            </w:r>
            <w:proofErr w:type="spellEnd"/>
            <w:r w:rsidRPr="00423483">
              <w:rPr>
                <w:rFonts w:ascii="Calibri" w:hAnsi="Calibri" w:cs="Tahoma"/>
              </w:rPr>
              <w:t xml:space="preserve"> shall be reported in accordance with the ISMS risk and incident management procedures. </w:t>
            </w:r>
            <w:r w:rsidR="00BE635A" w:rsidRPr="00BE635A">
              <w:rPr>
                <w:rFonts w:ascii="Calibri" w:hAnsi="Calibri" w:cs="Tahoma"/>
              </w:rPr>
              <w:t>All personnel within the ISMS scope shall escalate significant information security issues to the IT National Manager (ISMS Management Representative), who shall escalate major matters to the CTO as required.</w:t>
            </w:r>
          </w:p>
        </w:tc>
      </w:tr>
      <w:tr w:rsidR="00423483" w:rsidRPr="002928E9" w14:paraId="0635E892" w14:textId="77777777" w:rsidTr="00980C86">
        <w:tc>
          <w:tcPr>
            <w:tcW w:w="1980" w:type="dxa"/>
          </w:tcPr>
          <w:p w14:paraId="1E13AAD3" w14:textId="71C3BCE5" w:rsidR="00423483" w:rsidRPr="00F336A8" w:rsidRDefault="00423483" w:rsidP="00F336A8">
            <w:pPr>
              <w:spacing w:before="120" w:after="120"/>
              <w:rPr>
                <w:rFonts w:ascii="Calibri" w:hAnsi="Calibri"/>
                <w:b/>
                <w:bCs/>
              </w:rPr>
            </w:pPr>
            <w:r>
              <w:rPr>
                <w:rFonts w:ascii="Calibri" w:hAnsi="Calibri"/>
                <w:b/>
                <w:bCs/>
              </w:rPr>
              <w:t>General</w:t>
            </w:r>
          </w:p>
        </w:tc>
        <w:tc>
          <w:tcPr>
            <w:tcW w:w="8640" w:type="dxa"/>
          </w:tcPr>
          <w:p w14:paraId="19FF27BD" w14:textId="687BB812" w:rsidR="00423483" w:rsidRPr="00423483" w:rsidRDefault="00423483" w:rsidP="00423483">
            <w:pPr>
              <w:spacing w:before="120" w:after="120"/>
              <w:ind w:right="162"/>
              <w:jc w:val="both"/>
              <w:rPr>
                <w:rFonts w:ascii="Calibri" w:hAnsi="Calibri" w:cs="Tahoma"/>
                <w:b/>
                <w:bCs/>
              </w:rPr>
            </w:pPr>
            <w:r>
              <w:rPr>
                <w:rFonts w:ascii="Calibri" w:hAnsi="Calibri" w:cs="Tahoma"/>
                <w:b/>
                <w:bCs/>
              </w:rPr>
              <w:t xml:space="preserve">1. </w:t>
            </w:r>
            <w:r w:rsidRPr="00423483">
              <w:rPr>
                <w:rFonts w:ascii="Calibri" w:hAnsi="Calibri" w:cs="Tahoma"/>
                <w:b/>
                <w:bCs/>
              </w:rPr>
              <w:t>Relationship to Job Descriptions</w:t>
            </w:r>
          </w:p>
          <w:p w14:paraId="6BA90409" w14:textId="77777777" w:rsidR="00A55E6E" w:rsidRPr="00A55E6E" w:rsidRDefault="00A55E6E" w:rsidP="00A55E6E">
            <w:pPr>
              <w:spacing w:before="120" w:after="120"/>
              <w:ind w:right="162"/>
              <w:jc w:val="both"/>
              <w:rPr>
                <w:rFonts w:ascii="Calibri" w:hAnsi="Calibri" w:cs="Tahoma"/>
              </w:rPr>
            </w:pPr>
            <w:r w:rsidRPr="00A55E6E">
              <w:rPr>
                <w:rFonts w:ascii="Calibri" w:hAnsi="Calibri" w:cs="Tahoma"/>
              </w:rPr>
              <w:t>Existing job descriptions define employees’ roles, duties, and operational responsibilities.</w:t>
            </w:r>
          </w:p>
          <w:p w14:paraId="4E0CAD07" w14:textId="77777777" w:rsidR="00A55E6E" w:rsidRPr="00A55E6E" w:rsidRDefault="00A55E6E" w:rsidP="00A55E6E">
            <w:pPr>
              <w:spacing w:before="120" w:after="120"/>
              <w:ind w:right="162"/>
              <w:jc w:val="both"/>
              <w:rPr>
                <w:rFonts w:ascii="Calibri" w:hAnsi="Calibri" w:cs="Tahoma"/>
              </w:rPr>
            </w:pPr>
            <w:r w:rsidRPr="00A55E6E">
              <w:rPr>
                <w:rFonts w:ascii="Calibri" w:hAnsi="Calibri" w:cs="Tahoma"/>
              </w:rPr>
              <w:t>This policy does not replace or duplicate job descriptions. It defines and assigns Information Security and ISMS responsibilities applicable to roles within the ISMS scope.</w:t>
            </w:r>
          </w:p>
          <w:p w14:paraId="5756C4C7" w14:textId="344C56A1" w:rsidR="00A55E6E" w:rsidRPr="00A55E6E" w:rsidRDefault="00A55E6E" w:rsidP="00A55E6E">
            <w:pPr>
              <w:spacing w:before="120" w:after="120"/>
              <w:ind w:right="162"/>
              <w:jc w:val="both"/>
              <w:rPr>
                <w:rFonts w:ascii="Calibri" w:hAnsi="Calibri" w:cs="Tahoma"/>
              </w:rPr>
            </w:pPr>
            <w:r w:rsidRPr="00A55E6E">
              <w:rPr>
                <w:rFonts w:ascii="Calibri" w:hAnsi="Calibri" w:cs="Tahoma"/>
              </w:rPr>
              <w:t>Where job descriptions do not explicitly reference ISO/IEC 27001 or information security responsibilities, this policy shall apply for ISMS</w:t>
            </w:r>
            <w:r>
              <w:rPr>
                <w:rFonts w:ascii="Calibri" w:hAnsi="Calibri" w:cs="Tahoma"/>
              </w:rPr>
              <w:t xml:space="preserve"> </w:t>
            </w:r>
            <w:r w:rsidRPr="00A55E6E">
              <w:rPr>
                <w:rFonts w:ascii="Calibri" w:hAnsi="Calibri" w:cs="Tahoma"/>
              </w:rPr>
              <w:t>related responsibilities. Job descriptions may be updated progressively through the HR review cycle. This policy serves as the authoritative reference for ISMS governance responsibilities.</w:t>
            </w:r>
          </w:p>
          <w:p w14:paraId="6B2FAF03" w14:textId="12C427B1" w:rsidR="00423483" w:rsidRPr="00423483" w:rsidRDefault="00423483" w:rsidP="00423483">
            <w:pPr>
              <w:spacing w:before="120" w:after="120"/>
              <w:ind w:right="162"/>
              <w:jc w:val="both"/>
              <w:rPr>
                <w:rFonts w:ascii="Calibri" w:hAnsi="Calibri" w:cs="Tahoma"/>
                <w:b/>
                <w:bCs/>
              </w:rPr>
            </w:pPr>
            <w:r>
              <w:rPr>
                <w:rFonts w:ascii="Calibri" w:hAnsi="Calibri" w:cs="Tahoma"/>
                <w:b/>
                <w:bCs/>
              </w:rPr>
              <w:t>2</w:t>
            </w:r>
            <w:r w:rsidRPr="00423483">
              <w:rPr>
                <w:rFonts w:ascii="Calibri" w:hAnsi="Calibri" w:cs="Tahoma"/>
                <w:b/>
                <w:bCs/>
              </w:rPr>
              <w:t>. Awareness and Communication</w:t>
            </w:r>
          </w:p>
          <w:p w14:paraId="1F59E8C6" w14:textId="1802FC09" w:rsidR="00423483" w:rsidRPr="00423483" w:rsidRDefault="00E2362B" w:rsidP="00E2362B">
            <w:pPr>
              <w:spacing w:before="120" w:after="120"/>
              <w:ind w:right="162"/>
              <w:jc w:val="both"/>
              <w:rPr>
                <w:rFonts w:ascii="Calibri" w:hAnsi="Calibri" w:cs="Tahoma"/>
              </w:rPr>
            </w:pPr>
            <w:r w:rsidRPr="00E2362B">
              <w:rPr>
                <w:rFonts w:ascii="Calibri" w:hAnsi="Calibri" w:cs="Tahoma"/>
              </w:rPr>
              <w:t>This policy shall be communicated to all personnel within the ISMS scope</w:t>
            </w:r>
            <w:r w:rsidR="00423483" w:rsidRPr="00423483">
              <w:rPr>
                <w:rFonts w:ascii="Calibri" w:hAnsi="Calibri" w:cs="Tahoma"/>
              </w:rPr>
              <w:t xml:space="preserve">. ISMS responsibilities shall be reinforced through awareness sessions, coaching, and internal communications. Records of communication and awareness activities </w:t>
            </w:r>
            <w:r w:rsidR="00423483">
              <w:rPr>
                <w:rFonts w:ascii="Calibri" w:hAnsi="Calibri" w:cs="Tahoma"/>
              </w:rPr>
              <w:t>will</w:t>
            </w:r>
            <w:r w:rsidR="00423483" w:rsidRPr="00423483">
              <w:rPr>
                <w:rFonts w:ascii="Calibri" w:hAnsi="Calibri" w:cs="Tahoma"/>
              </w:rPr>
              <w:t xml:space="preserve"> be retained as evidence.</w:t>
            </w:r>
          </w:p>
          <w:p w14:paraId="097481EF" w14:textId="3112D543" w:rsidR="00423483" w:rsidRPr="00423483" w:rsidRDefault="00423483" w:rsidP="00423483">
            <w:pPr>
              <w:spacing w:before="120" w:after="120"/>
              <w:ind w:right="162"/>
              <w:jc w:val="both"/>
              <w:rPr>
                <w:rFonts w:ascii="Calibri" w:hAnsi="Calibri" w:cs="Tahoma"/>
                <w:b/>
                <w:bCs/>
              </w:rPr>
            </w:pPr>
            <w:r>
              <w:rPr>
                <w:rFonts w:ascii="Calibri" w:hAnsi="Calibri" w:cs="Tahoma"/>
                <w:b/>
                <w:bCs/>
              </w:rPr>
              <w:t xml:space="preserve">3. </w:t>
            </w:r>
            <w:r w:rsidRPr="00423483">
              <w:rPr>
                <w:rFonts w:ascii="Calibri" w:hAnsi="Calibri" w:cs="Tahoma"/>
                <w:b/>
                <w:bCs/>
              </w:rPr>
              <w:t>Review and Control</w:t>
            </w:r>
          </w:p>
          <w:p w14:paraId="0C959EC4" w14:textId="77777777" w:rsidR="00423483" w:rsidRDefault="00BE635A" w:rsidP="00423483">
            <w:pPr>
              <w:spacing w:before="120" w:after="120"/>
              <w:ind w:right="162"/>
              <w:jc w:val="both"/>
              <w:rPr>
                <w:rFonts w:ascii="Calibri" w:hAnsi="Calibri" w:cs="Tahoma"/>
              </w:rPr>
            </w:pPr>
            <w:r>
              <w:rPr>
                <w:rFonts w:ascii="Calibri" w:hAnsi="Calibri" w:cs="Tahoma"/>
              </w:rPr>
              <w:t>This policy</w:t>
            </w:r>
            <w:r w:rsidR="00423483" w:rsidRPr="00423483">
              <w:rPr>
                <w:rFonts w:ascii="Calibri" w:hAnsi="Calibri" w:cs="Tahoma"/>
              </w:rPr>
              <w:t xml:space="preserve"> </w:t>
            </w:r>
            <w:r w:rsidR="00423483">
              <w:rPr>
                <w:rFonts w:ascii="Calibri" w:hAnsi="Calibri" w:cs="Tahoma"/>
              </w:rPr>
              <w:t>will</w:t>
            </w:r>
            <w:r w:rsidR="00423483" w:rsidRPr="00423483">
              <w:rPr>
                <w:rFonts w:ascii="Calibri" w:hAnsi="Calibri" w:cs="Tahoma"/>
              </w:rPr>
              <w:t xml:space="preserve"> be reviewed at planned intervals and updated as necessary to reflect changes in </w:t>
            </w:r>
            <w:r w:rsidR="00423483">
              <w:rPr>
                <w:rFonts w:ascii="Calibri" w:hAnsi="Calibri" w:cs="Tahoma"/>
              </w:rPr>
              <w:t xml:space="preserve">SMSA’s </w:t>
            </w:r>
            <w:r w:rsidR="00423483" w:rsidRPr="00423483">
              <w:rPr>
                <w:rFonts w:ascii="Calibri" w:hAnsi="Calibri" w:cs="Tahoma"/>
              </w:rPr>
              <w:t>organizational structure, ISMS scope, or applicable standards and requirements. The document shall be approved, controlled, and retained in accordance with SMSA document control procedures.</w:t>
            </w:r>
          </w:p>
          <w:p w14:paraId="32CD5934" w14:textId="77777777" w:rsidR="007B65E2" w:rsidRDefault="007B65E2" w:rsidP="00423483">
            <w:pPr>
              <w:spacing w:before="120" w:after="120"/>
              <w:ind w:right="162"/>
              <w:jc w:val="both"/>
              <w:rPr>
                <w:rFonts w:ascii="Calibri" w:hAnsi="Calibri" w:cs="Tahoma"/>
                <w:b/>
                <w:bCs/>
              </w:rPr>
            </w:pPr>
            <w:r w:rsidRPr="007B65E2">
              <w:rPr>
                <w:rFonts w:ascii="Calibri" w:hAnsi="Calibri" w:cs="Tahoma"/>
                <w:b/>
                <w:bCs/>
              </w:rPr>
              <w:t>4. Related Documents</w:t>
            </w:r>
          </w:p>
          <w:p w14:paraId="15BDECFA"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lastRenderedPageBreak/>
              <w:t>SMSA Information Security Policy.</w:t>
            </w:r>
          </w:p>
          <w:p w14:paraId="3238EF97"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t>Scope of Information Security Management System (ISMS).</w:t>
            </w:r>
          </w:p>
          <w:p w14:paraId="4D4C333F"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t>Information Security Risk Management Procedure.</w:t>
            </w:r>
          </w:p>
          <w:p w14:paraId="7F56C4FC"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t>Information Security Incident Management Policy.</w:t>
            </w:r>
          </w:p>
          <w:p w14:paraId="3ECFF43A"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t>Information Security Incident Response Plan.</w:t>
            </w:r>
          </w:p>
          <w:p w14:paraId="4AD93880"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t>Access Control Policy.</w:t>
            </w:r>
          </w:p>
          <w:p w14:paraId="0A5961C4"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t>Statement of Applicability.</w:t>
            </w:r>
          </w:p>
          <w:p w14:paraId="220858D3"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t>SMSA Risk Register.</w:t>
            </w:r>
          </w:p>
          <w:p w14:paraId="3544481B" w14:textId="77777777" w:rsidR="007B65E2" w:rsidRPr="007B65E2" w:rsidRDefault="007B65E2" w:rsidP="007B65E2">
            <w:pPr>
              <w:pStyle w:val="ListParagraph"/>
              <w:numPr>
                <w:ilvl w:val="0"/>
                <w:numId w:val="36"/>
              </w:numPr>
              <w:spacing w:before="120" w:after="120"/>
              <w:ind w:right="162"/>
              <w:rPr>
                <w:rFonts w:ascii="Calibri" w:hAnsi="Calibri" w:cs="Tahoma"/>
              </w:rPr>
            </w:pPr>
            <w:r w:rsidRPr="007B65E2">
              <w:rPr>
                <w:rFonts w:ascii="Calibri" w:hAnsi="Calibri" w:cs="Tahoma"/>
              </w:rPr>
              <w:t>Internal Audit records.</w:t>
            </w:r>
          </w:p>
          <w:p w14:paraId="738D139A" w14:textId="178F0928" w:rsidR="007B65E2" w:rsidRPr="007B65E2" w:rsidRDefault="007B65E2" w:rsidP="007B65E2">
            <w:pPr>
              <w:pStyle w:val="ListParagraph"/>
              <w:numPr>
                <w:ilvl w:val="0"/>
                <w:numId w:val="36"/>
              </w:numPr>
              <w:spacing w:before="120" w:after="120"/>
              <w:ind w:right="162"/>
              <w:jc w:val="both"/>
              <w:rPr>
                <w:rFonts w:ascii="Calibri" w:hAnsi="Calibri" w:cs="Tahoma"/>
                <w:b/>
                <w:bCs/>
              </w:rPr>
            </w:pPr>
            <w:r w:rsidRPr="007B65E2">
              <w:rPr>
                <w:rFonts w:ascii="Calibri" w:hAnsi="Calibri" w:cs="Tahoma"/>
              </w:rPr>
              <w:t>Management Review records.</w:t>
            </w:r>
          </w:p>
        </w:tc>
      </w:tr>
    </w:tbl>
    <w:p w14:paraId="26014EC8"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F8890" w14:textId="77777777" w:rsidR="00B27E55" w:rsidRDefault="00B27E55" w:rsidP="003050B7">
      <w:pPr>
        <w:spacing w:after="0"/>
      </w:pPr>
      <w:r>
        <w:separator/>
      </w:r>
    </w:p>
  </w:endnote>
  <w:endnote w:type="continuationSeparator" w:id="0">
    <w:p w14:paraId="369F68C3" w14:textId="77777777" w:rsidR="00B27E55" w:rsidRDefault="00B27E55"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000F" w14:textId="6A72061F" w:rsidR="009E2A86" w:rsidRPr="00B93592" w:rsidRDefault="00B93592" w:rsidP="00AB67E6">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B36FF8"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B36FF8" w:rsidRPr="00B93592">
      <w:rPr>
        <w:rFonts w:asciiTheme="minorHAnsi" w:hAnsiTheme="minorHAnsi" w:cstheme="minorHAnsi"/>
        <w:b/>
        <w:sz w:val="20"/>
        <w:szCs w:val="20"/>
      </w:rPr>
      <w:fldChar w:fldCharType="separate"/>
    </w:r>
    <w:r w:rsidR="00AB67E6">
      <w:rPr>
        <w:rFonts w:asciiTheme="minorHAnsi" w:hAnsiTheme="minorHAnsi" w:cstheme="minorHAnsi"/>
        <w:b/>
        <w:noProof/>
        <w:sz w:val="20"/>
        <w:szCs w:val="20"/>
      </w:rPr>
      <w:t>1</w:t>
    </w:r>
    <w:r w:rsidR="00B36FF8"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B36FF8"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B36FF8" w:rsidRPr="00B93592">
      <w:rPr>
        <w:rFonts w:asciiTheme="minorHAnsi" w:hAnsiTheme="minorHAnsi" w:cstheme="minorHAnsi"/>
        <w:b/>
        <w:sz w:val="20"/>
        <w:szCs w:val="20"/>
      </w:rPr>
      <w:fldChar w:fldCharType="separate"/>
    </w:r>
    <w:r w:rsidR="00AB67E6">
      <w:rPr>
        <w:rFonts w:asciiTheme="minorHAnsi" w:hAnsiTheme="minorHAnsi" w:cstheme="minorHAnsi"/>
        <w:b/>
        <w:noProof/>
        <w:sz w:val="20"/>
        <w:szCs w:val="20"/>
      </w:rPr>
      <w:t>2</w:t>
    </w:r>
    <w:r w:rsidR="00B36FF8"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083600CA" w14:textId="3361BDD0" w:rsidR="00B93592" w:rsidRPr="00B93592" w:rsidRDefault="007038E5" w:rsidP="00AB67E6">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4579B" w14:textId="77777777" w:rsidR="00B27E55" w:rsidRDefault="00B27E55" w:rsidP="003050B7">
      <w:pPr>
        <w:spacing w:after="0"/>
      </w:pPr>
      <w:r>
        <w:separator/>
      </w:r>
    </w:p>
  </w:footnote>
  <w:footnote w:type="continuationSeparator" w:id="0">
    <w:p w14:paraId="289676EC" w14:textId="77777777" w:rsidR="00B27E55" w:rsidRDefault="00B27E55"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CAD7D4E" w14:textId="77777777" w:rsidTr="00980C86">
      <w:tc>
        <w:tcPr>
          <w:tcW w:w="4230" w:type="dxa"/>
        </w:tcPr>
        <w:p w14:paraId="02A55AF1" w14:textId="77777777" w:rsidR="009E2A86" w:rsidRPr="003069FB" w:rsidRDefault="00B93592" w:rsidP="003050B7">
          <w:pPr>
            <w:pStyle w:val="Header"/>
            <w:rPr>
              <w:b/>
              <w:noProof/>
              <w:sz w:val="28"/>
              <w:szCs w:val="28"/>
            </w:rPr>
          </w:pPr>
          <w:r>
            <w:rPr>
              <w:b/>
              <w:noProof/>
              <w:sz w:val="28"/>
              <w:szCs w:val="28"/>
            </w:rPr>
            <w:drawing>
              <wp:inline distT="0" distB="0" distL="0" distR="0" wp14:anchorId="5C8117BD" wp14:editId="5F78A073">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1C9E8E0B" w14:textId="44E1B31B" w:rsidR="009E2A86" w:rsidRDefault="005555B2" w:rsidP="004D468E">
          <w:pPr>
            <w:pStyle w:val="Header"/>
            <w:jc w:val="right"/>
            <w:rPr>
              <w:rFonts w:ascii="Calibri" w:hAnsi="Calibri"/>
              <w:b/>
              <w:noProof/>
              <w:sz w:val="32"/>
            </w:rPr>
          </w:pPr>
          <w:r>
            <w:rPr>
              <w:rFonts w:ascii="Calibri" w:hAnsi="Calibri"/>
              <w:b/>
              <w:noProof/>
              <w:sz w:val="32"/>
            </w:rPr>
            <w:t>Organization of Information Security Policy</w:t>
          </w:r>
        </w:p>
        <w:p w14:paraId="09BC0236" w14:textId="77777777" w:rsidR="009E2A86"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6ACC8D6" w14:textId="77777777" w:rsidR="009E2A86" w:rsidRPr="00607DB0" w:rsidRDefault="009E2A86"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3919"/>
    <w:multiLevelType w:val="hybridMultilevel"/>
    <w:tmpl w:val="74B8550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7351CD0"/>
    <w:multiLevelType w:val="hybridMultilevel"/>
    <w:tmpl w:val="0448B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7A2117"/>
    <w:multiLevelType w:val="hybridMultilevel"/>
    <w:tmpl w:val="A1E0BF94"/>
    <w:lvl w:ilvl="0" w:tplc="4009000F">
      <w:start w:val="1"/>
      <w:numFmt w:val="decimal"/>
      <w:lvlText w:val="%1."/>
      <w:lvlJc w:val="left"/>
      <w:pPr>
        <w:ind w:left="360" w:hanging="360"/>
      </w:pPr>
    </w:lvl>
    <w:lvl w:ilvl="1" w:tplc="03CAB7A0">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0BDE7D0C"/>
    <w:multiLevelType w:val="hybridMultilevel"/>
    <w:tmpl w:val="1E1EBA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04A39"/>
    <w:multiLevelType w:val="hybridMultilevel"/>
    <w:tmpl w:val="D108D656"/>
    <w:lvl w:ilvl="0" w:tplc="96EEC0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C266AD"/>
    <w:multiLevelType w:val="hybridMultilevel"/>
    <w:tmpl w:val="8D54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30528"/>
    <w:multiLevelType w:val="hybridMultilevel"/>
    <w:tmpl w:val="D4B6FCAC"/>
    <w:lvl w:ilvl="0" w:tplc="245A1B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787E91"/>
    <w:multiLevelType w:val="hybridMultilevel"/>
    <w:tmpl w:val="ACCCA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1B019E"/>
    <w:multiLevelType w:val="hybridMultilevel"/>
    <w:tmpl w:val="83A03460"/>
    <w:lvl w:ilvl="0" w:tplc="04090001">
      <w:start w:val="1"/>
      <w:numFmt w:val="bullet"/>
      <w:lvlText w:val=""/>
      <w:lvlJc w:val="left"/>
      <w:pPr>
        <w:ind w:left="3600" w:hanging="360"/>
      </w:pPr>
      <w:rPr>
        <w:rFonts w:ascii="Symbol" w:hAnsi="Symbol" w:hint="default"/>
      </w:rPr>
    </w:lvl>
    <w:lvl w:ilvl="1" w:tplc="04090005">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1EA26131"/>
    <w:multiLevelType w:val="hybridMultilevel"/>
    <w:tmpl w:val="A4E8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A74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AB53DE"/>
    <w:multiLevelType w:val="hybridMultilevel"/>
    <w:tmpl w:val="573A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F3995"/>
    <w:multiLevelType w:val="hybridMultilevel"/>
    <w:tmpl w:val="968CDF2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2F271E03"/>
    <w:multiLevelType w:val="hybridMultilevel"/>
    <w:tmpl w:val="3DF2F86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4" w15:restartNumberingAfterBreak="0">
    <w:nsid w:val="35A40BF7"/>
    <w:multiLevelType w:val="hybridMultilevel"/>
    <w:tmpl w:val="8E1EAC16"/>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start w:val="1"/>
      <w:numFmt w:val="bullet"/>
      <w:lvlText w:val=""/>
      <w:lvlJc w:val="left"/>
      <w:pPr>
        <w:ind w:left="4104" w:hanging="360"/>
      </w:pPr>
      <w:rPr>
        <w:rFonts w:ascii="Symbol" w:hAnsi="Symbol" w:hint="default"/>
      </w:rPr>
    </w:lvl>
    <w:lvl w:ilvl="4" w:tplc="04090003">
      <w:start w:val="1"/>
      <w:numFmt w:val="bullet"/>
      <w:lvlText w:val="o"/>
      <w:lvlJc w:val="left"/>
      <w:pPr>
        <w:ind w:left="4824" w:hanging="360"/>
      </w:pPr>
      <w:rPr>
        <w:rFonts w:ascii="Courier New" w:hAnsi="Courier New" w:cs="Courier New" w:hint="default"/>
      </w:rPr>
    </w:lvl>
    <w:lvl w:ilvl="5" w:tplc="04090005">
      <w:start w:val="1"/>
      <w:numFmt w:val="bullet"/>
      <w:lvlText w:val=""/>
      <w:lvlJc w:val="left"/>
      <w:pPr>
        <w:ind w:left="5544" w:hanging="360"/>
      </w:pPr>
      <w:rPr>
        <w:rFonts w:ascii="Wingdings" w:hAnsi="Wingdings" w:hint="default"/>
      </w:rPr>
    </w:lvl>
    <w:lvl w:ilvl="6" w:tplc="04090001">
      <w:start w:val="1"/>
      <w:numFmt w:val="bullet"/>
      <w:lvlText w:val=""/>
      <w:lvlJc w:val="left"/>
      <w:pPr>
        <w:ind w:left="6264" w:hanging="360"/>
      </w:pPr>
      <w:rPr>
        <w:rFonts w:ascii="Symbol" w:hAnsi="Symbol" w:hint="default"/>
      </w:rPr>
    </w:lvl>
    <w:lvl w:ilvl="7" w:tplc="04090003">
      <w:start w:val="1"/>
      <w:numFmt w:val="bullet"/>
      <w:lvlText w:val="o"/>
      <w:lvlJc w:val="left"/>
      <w:pPr>
        <w:ind w:left="6984" w:hanging="360"/>
      </w:pPr>
      <w:rPr>
        <w:rFonts w:ascii="Courier New" w:hAnsi="Courier New" w:cs="Courier New" w:hint="default"/>
      </w:rPr>
    </w:lvl>
    <w:lvl w:ilvl="8" w:tplc="04090005">
      <w:start w:val="1"/>
      <w:numFmt w:val="bullet"/>
      <w:lvlText w:val=""/>
      <w:lvlJc w:val="left"/>
      <w:pPr>
        <w:ind w:left="7704" w:hanging="360"/>
      </w:pPr>
      <w:rPr>
        <w:rFonts w:ascii="Wingdings" w:hAnsi="Wingdings" w:hint="default"/>
      </w:rPr>
    </w:lvl>
  </w:abstractNum>
  <w:abstractNum w:abstractNumId="15" w15:restartNumberingAfterBreak="0">
    <w:nsid w:val="35BF24C2"/>
    <w:multiLevelType w:val="hybridMultilevel"/>
    <w:tmpl w:val="BE0C4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454E2"/>
    <w:multiLevelType w:val="hybridMultilevel"/>
    <w:tmpl w:val="77F8C8F4"/>
    <w:lvl w:ilvl="0" w:tplc="F03CB036">
      <w:numFmt w:val="bullet"/>
      <w:lvlText w:val="•"/>
      <w:lvlJc w:val="left"/>
      <w:pPr>
        <w:ind w:left="720" w:hanging="360"/>
      </w:pPr>
      <w:rPr>
        <w:rFonts w:ascii="Calibri" w:eastAsia="Times New Roman" w:hAnsi="Calibri" w:cs="Tahoma" w:hint="default"/>
      </w:rPr>
    </w:lvl>
    <w:lvl w:ilvl="1" w:tplc="D98C6A1E">
      <w:numFmt w:val="bullet"/>
      <w:lvlText w:val="-"/>
      <w:lvlJc w:val="left"/>
      <w:pPr>
        <w:ind w:left="1755" w:hanging="675"/>
      </w:pPr>
      <w:rPr>
        <w:rFonts w:ascii="Calibri" w:eastAsia="Times New Roman" w:hAnsi="Calibri"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8D4832"/>
    <w:multiLevelType w:val="hybridMultilevel"/>
    <w:tmpl w:val="F4BECE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CCD564A"/>
    <w:multiLevelType w:val="hybridMultilevel"/>
    <w:tmpl w:val="20CED74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3F212236"/>
    <w:multiLevelType w:val="hybridMultilevel"/>
    <w:tmpl w:val="54C476AC"/>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42F91599"/>
    <w:multiLevelType w:val="hybridMultilevel"/>
    <w:tmpl w:val="4B3C89B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442A31ED"/>
    <w:multiLevelType w:val="hybridMultilevel"/>
    <w:tmpl w:val="216E0372"/>
    <w:lvl w:ilvl="0" w:tplc="82649F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46B0163"/>
    <w:multiLevelType w:val="hybridMultilevel"/>
    <w:tmpl w:val="E5DCBFD0"/>
    <w:lvl w:ilvl="0" w:tplc="04090001">
      <w:start w:val="1"/>
      <w:numFmt w:val="upperLetter"/>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3" w15:restartNumberingAfterBreak="0">
    <w:nsid w:val="4F715D98"/>
    <w:multiLevelType w:val="hybridMultilevel"/>
    <w:tmpl w:val="EFBE04A8"/>
    <w:lvl w:ilvl="0" w:tplc="04090015">
      <w:start w:val="1"/>
      <w:numFmt w:val="bullet"/>
      <w:lvlText w:val=""/>
      <w:lvlJc w:val="left"/>
      <w:pPr>
        <w:ind w:left="1944" w:hanging="360"/>
      </w:pPr>
      <w:rPr>
        <w:rFonts w:ascii="Symbol" w:hAnsi="Symbol" w:hint="default"/>
      </w:rPr>
    </w:lvl>
    <w:lvl w:ilvl="1" w:tplc="04090019">
      <w:start w:val="1"/>
      <w:numFmt w:val="bullet"/>
      <w:lvlText w:val=""/>
      <w:lvlJc w:val="left"/>
      <w:pPr>
        <w:ind w:left="2664" w:hanging="360"/>
      </w:pPr>
      <w:rPr>
        <w:rFonts w:ascii="Wingdings" w:hAnsi="Wingdings" w:hint="default"/>
      </w:rPr>
    </w:lvl>
    <w:lvl w:ilvl="2" w:tplc="0409001B" w:tentative="1">
      <w:start w:val="1"/>
      <w:numFmt w:val="bullet"/>
      <w:lvlText w:val=""/>
      <w:lvlJc w:val="left"/>
      <w:pPr>
        <w:ind w:left="3384" w:hanging="360"/>
      </w:pPr>
      <w:rPr>
        <w:rFonts w:ascii="Wingdings" w:hAnsi="Wingdings" w:hint="default"/>
      </w:rPr>
    </w:lvl>
    <w:lvl w:ilvl="3" w:tplc="0409000F" w:tentative="1">
      <w:start w:val="1"/>
      <w:numFmt w:val="bullet"/>
      <w:lvlText w:val=""/>
      <w:lvlJc w:val="left"/>
      <w:pPr>
        <w:ind w:left="4104" w:hanging="360"/>
      </w:pPr>
      <w:rPr>
        <w:rFonts w:ascii="Symbol" w:hAnsi="Symbol" w:hint="default"/>
      </w:rPr>
    </w:lvl>
    <w:lvl w:ilvl="4" w:tplc="04090019" w:tentative="1">
      <w:start w:val="1"/>
      <w:numFmt w:val="bullet"/>
      <w:lvlText w:val="o"/>
      <w:lvlJc w:val="left"/>
      <w:pPr>
        <w:ind w:left="4824" w:hanging="360"/>
      </w:pPr>
      <w:rPr>
        <w:rFonts w:ascii="Courier New" w:hAnsi="Courier New" w:cs="Courier New" w:hint="default"/>
      </w:rPr>
    </w:lvl>
    <w:lvl w:ilvl="5" w:tplc="0409001B" w:tentative="1">
      <w:start w:val="1"/>
      <w:numFmt w:val="bullet"/>
      <w:lvlText w:val=""/>
      <w:lvlJc w:val="left"/>
      <w:pPr>
        <w:ind w:left="5544" w:hanging="360"/>
      </w:pPr>
      <w:rPr>
        <w:rFonts w:ascii="Wingdings" w:hAnsi="Wingdings" w:hint="default"/>
      </w:rPr>
    </w:lvl>
    <w:lvl w:ilvl="6" w:tplc="0409000F" w:tentative="1">
      <w:start w:val="1"/>
      <w:numFmt w:val="bullet"/>
      <w:lvlText w:val=""/>
      <w:lvlJc w:val="left"/>
      <w:pPr>
        <w:ind w:left="6264" w:hanging="360"/>
      </w:pPr>
      <w:rPr>
        <w:rFonts w:ascii="Symbol" w:hAnsi="Symbol" w:hint="default"/>
      </w:rPr>
    </w:lvl>
    <w:lvl w:ilvl="7" w:tplc="04090019" w:tentative="1">
      <w:start w:val="1"/>
      <w:numFmt w:val="bullet"/>
      <w:lvlText w:val="o"/>
      <w:lvlJc w:val="left"/>
      <w:pPr>
        <w:ind w:left="6984" w:hanging="360"/>
      </w:pPr>
      <w:rPr>
        <w:rFonts w:ascii="Courier New" w:hAnsi="Courier New" w:cs="Courier New" w:hint="default"/>
      </w:rPr>
    </w:lvl>
    <w:lvl w:ilvl="8" w:tplc="0409001B" w:tentative="1">
      <w:start w:val="1"/>
      <w:numFmt w:val="bullet"/>
      <w:lvlText w:val=""/>
      <w:lvlJc w:val="left"/>
      <w:pPr>
        <w:ind w:left="7704" w:hanging="360"/>
      </w:pPr>
      <w:rPr>
        <w:rFonts w:ascii="Wingdings" w:hAnsi="Wingdings" w:hint="default"/>
      </w:rPr>
    </w:lvl>
  </w:abstractNum>
  <w:abstractNum w:abstractNumId="24" w15:restartNumberingAfterBreak="0">
    <w:nsid w:val="52D74740"/>
    <w:multiLevelType w:val="hybridMultilevel"/>
    <w:tmpl w:val="70C6B8B0"/>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5" w15:restartNumberingAfterBreak="0">
    <w:nsid w:val="5AB50BEC"/>
    <w:multiLevelType w:val="hybridMultilevel"/>
    <w:tmpl w:val="063C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164668"/>
    <w:multiLevelType w:val="hybridMultilevel"/>
    <w:tmpl w:val="8B269720"/>
    <w:lvl w:ilvl="0" w:tplc="04090001">
      <w:start w:val="1"/>
      <w:numFmt w:val="upperLetter"/>
      <w:lvlText w:val="%1."/>
      <w:lvlJc w:val="left"/>
      <w:pPr>
        <w:ind w:left="1440" w:hanging="360"/>
      </w:pPr>
    </w:lvl>
    <w:lvl w:ilvl="1" w:tplc="04090005" w:tentative="1">
      <w:start w:val="1"/>
      <w:numFmt w:val="lowerLetter"/>
      <w:lvlText w:val="%2."/>
      <w:lvlJc w:val="left"/>
      <w:pPr>
        <w:ind w:left="2160" w:hanging="360"/>
      </w:pPr>
    </w:lvl>
    <w:lvl w:ilvl="2" w:tplc="04090005">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7" w15:restartNumberingAfterBreak="0">
    <w:nsid w:val="5FE8075F"/>
    <w:multiLevelType w:val="multilevel"/>
    <w:tmpl w:val="15968E36"/>
    <w:lvl w:ilvl="0">
      <w:start w:val="8"/>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61990918"/>
    <w:multiLevelType w:val="hybridMultilevel"/>
    <w:tmpl w:val="3D962378"/>
    <w:lvl w:ilvl="0" w:tplc="FF82AFB6">
      <w:start w:val="1"/>
      <w:numFmt w:val="bullet"/>
      <w:lvlText w:val=""/>
      <w:lvlJc w:val="left"/>
      <w:pPr>
        <w:ind w:left="792" w:hanging="360"/>
      </w:pPr>
      <w:rPr>
        <w:rFonts w:ascii="Symbol" w:hAnsi="Symbol" w:hint="default"/>
      </w:rPr>
    </w:lvl>
    <w:lvl w:ilvl="1" w:tplc="4F3ABD26" w:tentative="1">
      <w:start w:val="1"/>
      <w:numFmt w:val="bullet"/>
      <w:lvlText w:val="o"/>
      <w:lvlJc w:val="left"/>
      <w:pPr>
        <w:ind w:left="1512" w:hanging="360"/>
      </w:pPr>
      <w:rPr>
        <w:rFonts w:ascii="Courier New" w:hAnsi="Courier New" w:cs="Courier New" w:hint="default"/>
      </w:rPr>
    </w:lvl>
    <w:lvl w:ilvl="2" w:tplc="03B45008" w:tentative="1">
      <w:start w:val="1"/>
      <w:numFmt w:val="bullet"/>
      <w:lvlText w:val=""/>
      <w:lvlJc w:val="left"/>
      <w:pPr>
        <w:ind w:left="2232" w:hanging="360"/>
      </w:pPr>
      <w:rPr>
        <w:rFonts w:ascii="Wingdings" w:hAnsi="Wingdings" w:hint="default"/>
      </w:rPr>
    </w:lvl>
    <w:lvl w:ilvl="3" w:tplc="CF28CFEE" w:tentative="1">
      <w:start w:val="1"/>
      <w:numFmt w:val="bullet"/>
      <w:lvlText w:val=""/>
      <w:lvlJc w:val="left"/>
      <w:pPr>
        <w:ind w:left="2952" w:hanging="360"/>
      </w:pPr>
      <w:rPr>
        <w:rFonts w:ascii="Symbol" w:hAnsi="Symbol" w:hint="default"/>
      </w:rPr>
    </w:lvl>
    <w:lvl w:ilvl="4" w:tplc="649417FA" w:tentative="1">
      <w:start w:val="1"/>
      <w:numFmt w:val="bullet"/>
      <w:lvlText w:val="o"/>
      <w:lvlJc w:val="left"/>
      <w:pPr>
        <w:ind w:left="3672" w:hanging="360"/>
      </w:pPr>
      <w:rPr>
        <w:rFonts w:ascii="Courier New" w:hAnsi="Courier New" w:cs="Courier New" w:hint="default"/>
      </w:rPr>
    </w:lvl>
    <w:lvl w:ilvl="5" w:tplc="54F82BF0" w:tentative="1">
      <w:start w:val="1"/>
      <w:numFmt w:val="bullet"/>
      <w:lvlText w:val=""/>
      <w:lvlJc w:val="left"/>
      <w:pPr>
        <w:ind w:left="4392" w:hanging="360"/>
      </w:pPr>
      <w:rPr>
        <w:rFonts w:ascii="Wingdings" w:hAnsi="Wingdings" w:hint="default"/>
      </w:rPr>
    </w:lvl>
    <w:lvl w:ilvl="6" w:tplc="214CDAA4" w:tentative="1">
      <w:start w:val="1"/>
      <w:numFmt w:val="bullet"/>
      <w:lvlText w:val=""/>
      <w:lvlJc w:val="left"/>
      <w:pPr>
        <w:ind w:left="5112" w:hanging="360"/>
      </w:pPr>
      <w:rPr>
        <w:rFonts w:ascii="Symbol" w:hAnsi="Symbol" w:hint="default"/>
      </w:rPr>
    </w:lvl>
    <w:lvl w:ilvl="7" w:tplc="5442DE96" w:tentative="1">
      <w:start w:val="1"/>
      <w:numFmt w:val="bullet"/>
      <w:lvlText w:val="o"/>
      <w:lvlJc w:val="left"/>
      <w:pPr>
        <w:ind w:left="5832" w:hanging="360"/>
      </w:pPr>
      <w:rPr>
        <w:rFonts w:ascii="Courier New" w:hAnsi="Courier New" w:cs="Courier New" w:hint="default"/>
      </w:rPr>
    </w:lvl>
    <w:lvl w:ilvl="8" w:tplc="B2C84B80" w:tentative="1">
      <w:start w:val="1"/>
      <w:numFmt w:val="bullet"/>
      <w:lvlText w:val=""/>
      <w:lvlJc w:val="left"/>
      <w:pPr>
        <w:ind w:left="6552" w:hanging="360"/>
      </w:pPr>
      <w:rPr>
        <w:rFonts w:ascii="Wingdings" w:hAnsi="Wingdings" w:hint="default"/>
      </w:rPr>
    </w:lvl>
  </w:abstractNum>
  <w:abstractNum w:abstractNumId="29" w15:restartNumberingAfterBreak="0">
    <w:nsid w:val="64B36F43"/>
    <w:multiLevelType w:val="hybridMultilevel"/>
    <w:tmpl w:val="68D298E2"/>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0" w15:restartNumberingAfterBreak="0">
    <w:nsid w:val="6AC60008"/>
    <w:multiLevelType w:val="hybridMultilevel"/>
    <w:tmpl w:val="C4CC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A8921F0"/>
    <w:multiLevelType w:val="hybridMultilevel"/>
    <w:tmpl w:val="7820DE7C"/>
    <w:lvl w:ilvl="0" w:tplc="133057E6">
      <w:start w:val="1"/>
      <w:numFmt w:val="bullet"/>
      <w:lvlText w:val=""/>
      <w:lvlJc w:val="left"/>
      <w:pPr>
        <w:ind w:left="1440" w:hanging="360"/>
      </w:pPr>
      <w:rPr>
        <w:rFonts w:ascii="Wingdings" w:hAnsi="Wingdings" w:hint="default"/>
      </w:rPr>
    </w:lvl>
    <w:lvl w:ilvl="1" w:tplc="7B6AF5E8" w:tentative="1">
      <w:start w:val="1"/>
      <w:numFmt w:val="lowerLetter"/>
      <w:lvlText w:val="%2."/>
      <w:lvlJc w:val="left"/>
      <w:pPr>
        <w:ind w:left="2160" w:hanging="360"/>
      </w:pPr>
    </w:lvl>
    <w:lvl w:ilvl="2" w:tplc="83EA248E">
      <w:start w:val="1"/>
      <w:numFmt w:val="lowerRoman"/>
      <w:lvlText w:val="%3."/>
      <w:lvlJc w:val="right"/>
      <w:pPr>
        <w:ind w:left="2880" w:hanging="180"/>
      </w:pPr>
    </w:lvl>
    <w:lvl w:ilvl="3" w:tplc="A77E1528" w:tentative="1">
      <w:start w:val="1"/>
      <w:numFmt w:val="decimal"/>
      <w:lvlText w:val="%4."/>
      <w:lvlJc w:val="left"/>
      <w:pPr>
        <w:ind w:left="3600" w:hanging="360"/>
      </w:pPr>
    </w:lvl>
    <w:lvl w:ilvl="4" w:tplc="F31403FA" w:tentative="1">
      <w:start w:val="1"/>
      <w:numFmt w:val="lowerLetter"/>
      <w:lvlText w:val="%5."/>
      <w:lvlJc w:val="left"/>
      <w:pPr>
        <w:ind w:left="4320" w:hanging="360"/>
      </w:pPr>
    </w:lvl>
    <w:lvl w:ilvl="5" w:tplc="09CC5734" w:tentative="1">
      <w:start w:val="1"/>
      <w:numFmt w:val="lowerRoman"/>
      <w:lvlText w:val="%6."/>
      <w:lvlJc w:val="right"/>
      <w:pPr>
        <w:ind w:left="5040" w:hanging="180"/>
      </w:pPr>
    </w:lvl>
    <w:lvl w:ilvl="6" w:tplc="E0BE65C4" w:tentative="1">
      <w:start w:val="1"/>
      <w:numFmt w:val="decimal"/>
      <w:lvlText w:val="%7."/>
      <w:lvlJc w:val="left"/>
      <w:pPr>
        <w:ind w:left="5760" w:hanging="360"/>
      </w:pPr>
    </w:lvl>
    <w:lvl w:ilvl="7" w:tplc="A01CD462" w:tentative="1">
      <w:start w:val="1"/>
      <w:numFmt w:val="lowerLetter"/>
      <w:lvlText w:val="%8."/>
      <w:lvlJc w:val="left"/>
      <w:pPr>
        <w:ind w:left="6480" w:hanging="360"/>
      </w:pPr>
    </w:lvl>
    <w:lvl w:ilvl="8" w:tplc="634252D2" w:tentative="1">
      <w:start w:val="1"/>
      <w:numFmt w:val="lowerRoman"/>
      <w:lvlText w:val="%9."/>
      <w:lvlJc w:val="right"/>
      <w:pPr>
        <w:ind w:left="7200" w:hanging="180"/>
      </w:pPr>
    </w:lvl>
  </w:abstractNum>
  <w:abstractNum w:abstractNumId="33" w15:restartNumberingAfterBreak="0">
    <w:nsid w:val="7DC70601"/>
    <w:multiLevelType w:val="hybridMultilevel"/>
    <w:tmpl w:val="EF74DDF8"/>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4" w15:restartNumberingAfterBreak="0">
    <w:nsid w:val="7E2A6E2D"/>
    <w:multiLevelType w:val="hybridMultilevel"/>
    <w:tmpl w:val="711A80CC"/>
    <w:lvl w:ilvl="0" w:tplc="04090005">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5" w15:restartNumberingAfterBreak="0">
    <w:nsid w:val="7EE1419A"/>
    <w:multiLevelType w:val="hybridMultilevel"/>
    <w:tmpl w:val="D37A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140763">
    <w:abstractNumId w:val="16"/>
  </w:num>
  <w:num w:numId="2" w16cid:durableId="1458328812">
    <w:abstractNumId w:val="7"/>
  </w:num>
  <w:num w:numId="3" w16cid:durableId="440222168">
    <w:abstractNumId w:val="21"/>
  </w:num>
  <w:num w:numId="4" w16cid:durableId="1757356739">
    <w:abstractNumId w:val="28"/>
  </w:num>
  <w:num w:numId="5" w16cid:durableId="234360597">
    <w:abstractNumId w:val="9"/>
  </w:num>
  <w:num w:numId="6" w16cid:durableId="124852819">
    <w:abstractNumId w:val="34"/>
  </w:num>
  <w:num w:numId="7" w16cid:durableId="882595110">
    <w:abstractNumId w:val="10"/>
  </w:num>
  <w:num w:numId="8" w16cid:durableId="476410528">
    <w:abstractNumId w:val="23"/>
  </w:num>
  <w:num w:numId="9" w16cid:durableId="773525515">
    <w:abstractNumId w:val="11"/>
  </w:num>
  <w:num w:numId="10" w16cid:durableId="1137604680">
    <w:abstractNumId w:val="8"/>
  </w:num>
  <w:num w:numId="11" w16cid:durableId="1387756519">
    <w:abstractNumId w:val="17"/>
  </w:num>
  <w:num w:numId="12" w16cid:durableId="1250847230">
    <w:abstractNumId w:val="6"/>
  </w:num>
  <w:num w:numId="13" w16cid:durableId="1993168433">
    <w:abstractNumId w:val="22"/>
  </w:num>
  <w:num w:numId="14" w16cid:durableId="181282067">
    <w:abstractNumId w:val="4"/>
  </w:num>
  <w:num w:numId="15" w16cid:durableId="670528854">
    <w:abstractNumId w:val="26"/>
  </w:num>
  <w:num w:numId="16" w16cid:durableId="1880434033">
    <w:abstractNumId w:val="27"/>
  </w:num>
  <w:num w:numId="17" w16cid:durableId="602884149">
    <w:abstractNumId w:val="24"/>
  </w:num>
  <w:num w:numId="18" w16cid:durableId="1972444723">
    <w:abstractNumId w:val="32"/>
  </w:num>
  <w:num w:numId="19" w16cid:durableId="1422946665">
    <w:abstractNumId w:val="31"/>
  </w:num>
  <w:num w:numId="20" w16cid:durableId="927999679">
    <w:abstractNumId w:val="2"/>
  </w:num>
  <w:num w:numId="21" w16cid:durableId="113326078">
    <w:abstractNumId w:val="12"/>
  </w:num>
  <w:num w:numId="22" w16cid:durableId="1333490591">
    <w:abstractNumId w:val="30"/>
  </w:num>
  <w:num w:numId="23" w16cid:durableId="1250889336">
    <w:abstractNumId w:val="13"/>
  </w:num>
  <w:num w:numId="24" w16cid:durableId="1038628101">
    <w:abstractNumId w:val="1"/>
  </w:num>
  <w:num w:numId="25" w16cid:durableId="271783447">
    <w:abstractNumId w:val="14"/>
  </w:num>
  <w:num w:numId="26" w16cid:durableId="2105296711">
    <w:abstractNumId w:val="5"/>
  </w:num>
  <w:num w:numId="27" w16cid:durableId="1565490276">
    <w:abstractNumId w:val="0"/>
  </w:num>
  <w:num w:numId="28" w16cid:durableId="1043940590">
    <w:abstractNumId w:val="3"/>
  </w:num>
  <w:num w:numId="29" w16cid:durableId="724911928">
    <w:abstractNumId w:val="20"/>
  </w:num>
  <w:num w:numId="30" w16cid:durableId="1777361538">
    <w:abstractNumId w:val="19"/>
  </w:num>
  <w:num w:numId="31" w16cid:durableId="918757661">
    <w:abstractNumId w:val="33"/>
  </w:num>
  <w:num w:numId="32" w16cid:durableId="1670710299">
    <w:abstractNumId w:val="29"/>
  </w:num>
  <w:num w:numId="33" w16cid:durableId="1898854626">
    <w:abstractNumId w:val="35"/>
  </w:num>
  <w:num w:numId="34" w16cid:durableId="1514806625">
    <w:abstractNumId w:val="18"/>
  </w:num>
  <w:num w:numId="35" w16cid:durableId="1839079241">
    <w:abstractNumId w:val="25"/>
  </w:num>
  <w:num w:numId="36" w16cid:durableId="227300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14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06E3"/>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11A"/>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C1C"/>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B5E48"/>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259"/>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1EA2"/>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3483"/>
    <w:rsid w:val="0042495E"/>
    <w:rsid w:val="00424C81"/>
    <w:rsid w:val="00425144"/>
    <w:rsid w:val="00425D7A"/>
    <w:rsid w:val="004271DA"/>
    <w:rsid w:val="0042775F"/>
    <w:rsid w:val="00427AB4"/>
    <w:rsid w:val="0043015E"/>
    <w:rsid w:val="0043125A"/>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477B5"/>
    <w:rsid w:val="00451261"/>
    <w:rsid w:val="004512B7"/>
    <w:rsid w:val="004528B9"/>
    <w:rsid w:val="004536CA"/>
    <w:rsid w:val="004571DD"/>
    <w:rsid w:val="004601B8"/>
    <w:rsid w:val="00460724"/>
    <w:rsid w:val="00460AB0"/>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68E"/>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7EF"/>
    <w:rsid w:val="00545AD1"/>
    <w:rsid w:val="0054604B"/>
    <w:rsid w:val="00550E3D"/>
    <w:rsid w:val="00551122"/>
    <w:rsid w:val="005530E3"/>
    <w:rsid w:val="00554330"/>
    <w:rsid w:val="005555B2"/>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960AB"/>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5DE3"/>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586"/>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0A85"/>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65E2"/>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0E90"/>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1CF"/>
    <w:rsid w:val="009C1424"/>
    <w:rsid w:val="009C1EB1"/>
    <w:rsid w:val="009C2C6F"/>
    <w:rsid w:val="009C3427"/>
    <w:rsid w:val="009C424B"/>
    <w:rsid w:val="009C593A"/>
    <w:rsid w:val="009C5E2B"/>
    <w:rsid w:val="009C62B6"/>
    <w:rsid w:val="009D0224"/>
    <w:rsid w:val="009D02AC"/>
    <w:rsid w:val="009D0F55"/>
    <w:rsid w:val="009D1523"/>
    <w:rsid w:val="009D7203"/>
    <w:rsid w:val="009E0442"/>
    <w:rsid w:val="009E259C"/>
    <w:rsid w:val="009E2A86"/>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243F5"/>
    <w:rsid w:val="00A24EB3"/>
    <w:rsid w:val="00A30946"/>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5E6E"/>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02F"/>
    <w:rsid w:val="00AB67E6"/>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27E55"/>
    <w:rsid w:val="00B3056B"/>
    <w:rsid w:val="00B314C9"/>
    <w:rsid w:val="00B31BC7"/>
    <w:rsid w:val="00B336A9"/>
    <w:rsid w:val="00B339C7"/>
    <w:rsid w:val="00B348BE"/>
    <w:rsid w:val="00B34F92"/>
    <w:rsid w:val="00B358B1"/>
    <w:rsid w:val="00B35B0D"/>
    <w:rsid w:val="00B35DDF"/>
    <w:rsid w:val="00B36486"/>
    <w:rsid w:val="00B368E4"/>
    <w:rsid w:val="00B36FF8"/>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35A"/>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2770B"/>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30A"/>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2951"/>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79A"/>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362B"/>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C60"/>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6A8"/>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82DF7"/>
  <w15:docId w15:val="{75980338-2EF6-4C31-8A12-E7EB26CE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9C11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9"/>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9"/>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9"/>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9C11C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F13AB-0895-4008-8D74-AA15718FF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26</cp:revision>
  <dcterms:created xsi:type="dcterms:W3CDTF">2021-11-04T08:41:00Z</dcterms:created>
  <dcterms:modified xsi:type="dcterms:W3CDTF">2026-06-18T11:05:00Z</dcterms:modified>
</cp:coreProperties>
</file>