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297D4DD0" w14:textId="77777777" w:rsidTr="00980C86">
        <w:tc>
          <w:tcPr>
            <w:tcW w:w="1980" w:type="dxa"/>
          </w:tcPr>
          <w:p w14:paraId="621D65FF"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1CDEC6CC" w14:textId="77777777" w:rsidR="003050B7" w:rsidRPr="006224F3" w:rsidRDefault="006224F3" w:rsidP="006224F3">
            <w:pPr>
              <w:spacing w:before="120" w:after="120"/>
              <w:ind w:left="72" w:right="162"/>
              <w:jc w:val="both"/>
              <w:rPr>
                <w:rFonts w:ascii="Calibri" w:hAnsi="Calibri"/>
                <w:lang w:val="en-IN"/>
              </w:rPr>
            </w:pPr>
            <w:r w:rsidRPr="006224F3">
              <w:rPr>
                <w:rFonts w:ascii="Calibri" w:hAnsi="Calibri"/>
                <w:lang w:val="en-IN"/>
              </w:rPr>
              <w:t>This policy aims to prevent unauthorized access to physical areas, as well as to protect equipment and facilities that if compromised, by human or natural intervention, could affect information assets or business operations.</w:t>
            </w:r>
          </w:p>
        </w:tc>
      </w:tr>
      <w:tr w:rsidR="003050B7" w:rsidRPr="002928E9" w14:paraId="04E41481" w14:textId="77777777" w:rsidTr="00980C86">
        <w:tc>
          <w:tcPr>
            <w:tcW w:w="1980" w:type="dxa"/>
          </w:tcPr>
          <w:p w14:paraId="471EE5E6"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07669162" w14:textId="77777777"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6224F3">
              <w:rPr>
                <w:rFonts w:ascii="Calibri" w:hAnsi="Calibri"/>
                <w:lang w:val="en-IN"/>
              </w:rPr>
              <w:t>11</w:t>
            </w:r>
          </w:p>
        </w:tc>
      </w:tr>
      <w:tr w:rsidR="003050B7" w:rsidRPr="002928E9" w14:paraId="2C388583" w14:textId="77777777" w:rsidTr="00980C86">
        <w:tc>
          <w:tcPr>
            <w:tcW w:w="1980" w:type="dxa"/>
          </w:tcPr>
          <w:p w14:paraId="3CF3394F"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59EA5820" w14:textId="77777777"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0E43A7F5"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548F1DCC"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w:t>
            </w:r>
            <w:r w:rsidR="004A3CAF">
              <w:rPr>
                <w:rFonts w:ascii="Calibri" w:hAnsi="Calibri" w:cs="Tahoma"/>
                <w:lang w:val="en-IN"/>
              </w:rPr>
              <w:t xml:space="preserve"> SMSA HQ</w:t>
            </w:r>
            <w:r w:rsidRPr="004E7314">
              <w:rPr>
                <w:rFonts w:ascii="Calibri" w:hAnsi="Calibri" w:cs="Tahoma"/>
                <w:lang w:val="en-IN"/>
              </w:rPr>
              <w:t xml:space="preserve"> or on behalf of SMSA</w:t>
            </w:r>
            <w:r w:rsidR="004A3CAF">
              <w:rPr>
                <w:rFonts w:ascii="Calibri" w:hAnsi="Calibri" w:cs="Tahoma"/>
                <w:lang w:val="en-IN"/>
              </w:rPr>
              <w:t xml:space="preserve"> HQ</w:t>
            </w:r>
            <w:r w:rsidRPr="004E7314">
              <w:rPr>
                <w:rFonts w:ascii="Calibri" w:hAnsi="Calibri" w:cs="Tahoma"/>
                <w:lang w:val="en-IN"/>
              </w:rPr>
              <w:t>,</w:t>
            </w:r>
          </w:p>
          <w:p w14:paraId="1176F301"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1B552350" w14:textId="77777777"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14:paraId="4EB2097B" w14:textId="77777777" w:rsidTr="00980C86">
        <w:tc>
          <w:tcPr>
            <w:tcW w:w="1980" w:type="dxa"/>
          </w:tcPr>
          <w:p w14:paraId="0F66B714"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728A2E7D"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3A266267"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6D99DFF5"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4331B257"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49382A7"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0A0832B6"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778E3520"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2598F1A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777A81A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31CBFD04"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79B66249"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64E57092"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511C7A2A"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4C877107"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0307F63C"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637E035B"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7453B6AA"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 xml:space="preserve">Implementing and enforcing the relevant portions of the policies within their </w:t>
            </w:r>
            <w:r>
              <w:rPr>
                <w:rFonts w:ascii="Calibri" w:hAnsi="Calibri" w:cs="Tahoma"/>
                <w:lang w:val="en-IN"/>
              </w:rPr>
              <w:lastRenderedPageBreak/>
              <w:t>functions.</w:t>
            </w:r>
          </w:p>
          <w:p w14:paraId="4A938B39" w14:textId="77777777" w:rsidR="0093200A" w:rsidRPr="0093200A" w:rsidRDefault="0093200A" w:rsidP="0093200A">
            <w:pPr>
              <w:spacing w:after="240"/>
              <w:ind w:right="162"/>
              <w:jc w:val="both"/>
              <w:rPr>
                <w:rFonts w:ascii="Calibri" w:hAnsi="Calibri" w:cs="Tahoma"/>
                <w:lang w:val="en-IN"/>
              </w:rPr>
            </w:pPr>
            <w:r>
              <w:rPr>
                <w:rFonts w:ascii="Calibri" w:hAnsi="Calibri" w:cs="Tahoma"/>
                <w:lang w:val="en-IN"/>
              </w:rPr>
              <w:t>Employees &amp; Contractors – Comply to policies</w:t>
            </w:r>
          </w:p>
          <w:p w14:paraId="1950E01A"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3050B7" w:rsidRPr="002928E9" w14:paraId="435B4C37" w14:textId="77777777" w:rsidTr="00980C86">
        <w:tc>
          <w:tcPr>
            <w:tcW w:w="1980" w:type="dxa"/>
          </w:tcPr>
          <w:p w14:paraId="1F228AD4"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0B34A403" w14:textId="77777777"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7D84B504" w14:textId="77777777" w:rsidR="00293E15" w:rsidRPr="006D1B43" w:rsidRDefault="00293E15" w:rsidP="006224F3">
            <w:pPr>
              <w:ind w:right="162"/>
              <w:jc w:val="both"/>
              <w:rPr>
                <w:rFonts w:ascii="Calibri" w:hAnsi="Calibri" w:cs="Tahoma"/>
                <w:b/>
                <w:bCs/>
                <w:u w:val="single"/>
                <w:lang w:val="en-IN"/>
              </w:rPr>
            </w:pPr>
            <w:r w:rsidRPr="006D1B43">
              <w:rPr>
                <w:rFonts w:ascii="Calibri" w:hAnsi="Calibri" w:cs="Tahoma"/>
                <w:b/>
                <w:bCs/>
                <w:u w:val="single"/>
                <w:lang w:val="en-IN"/>
              </w:rPr>
              <w:t xml:space="preserve">1.1 </w:t>
            </w:r>
            <w:r w:rsidR="006224F3">
              <w:rPr>
                <w:rFonts w:ascii="Calibri" w:hAnsi="Calibri" w:cs="Tahoma"/>
                <w:b/>
                <w:bCs/>
                <w:u w:val="single"/>
                <w:lang w:val="en-IN"/>
              </w:rPr>
              <w:t>Secure areas</w:t>
            </w:r>
          </w:p>
          <w:p w14:paraId="672167EA" w14:textId="77777777" w:rsidR="00293E15" w:rsidRPr="00293E15" w:rsidRDefault="00293E15" w:rsidP="006224F3">
            <w:pPr>
              <w:ind w:right="162"/>
              <w:jc w:val="both"/>
              <w:rPr>
                <w:rFonts w:ascii="Calibri" w:hAnsi="Calibri" w:cs="Tahoma"/>
                <w:b/>
                <w:bCs/>
                <w:lang w:val="en-IN"/>
              </w:rPr>
            </w:pPr>
            <w:r>
              <w:rPr>
                <w:rFonts w:ascii="Calibri" w:hAnsi="Calibri" w:cs="Tahoma"/>
                <w:b/>
                <w:bCs/>
                <w:lang w:val="en-IN"/>
              </w:rPr>
              <w:t xml:space="preserve">1.1.1 </w:t>
            </w:r>
            <w:r w:rsidR="006224F3">
              <w:rPr>
                <w:rFonts w:ascii="Calibri" w:hAnsi="Calibri" w:cs="Tahoma"/>
                <w:b/>
                <w:bCs/>
                <w:lang w:val="en-IN"/>
              </w:rPr>
              <w:t>Physical security perimeter</w:t>
            </w:r>
          </w:p>
          <w:p w14:paraId="079C79D1" w14:textId="77777777" w:rsidR="004A3CAF" w:rsidRPr="004A3CAF" w:rsidRDefault="004A3CAF" w:rsidP="004A3CAF">
            <w:pPr>
              <w:pStyle w:val="ListParagraph"/>
              <w:numPr>
                <w:ilvl w:val="0"/>
                <w:numId w:val="9"/>
              </w:numPr>
              <w:ind w:right="162"/>
              <w:rPr>
                <w:rFonts w:ascii="Calibri" w:hAnsi="Calibri" w:cs="Tahoma"/>
                <w:lang w:val="en-IN"/>
              </w:rPr>
            </w:pPr>
            <w:r w:rsidRPr="004A3CAF">
              <w:rPr>
                <w:rFonts w:ascii="Calibri" w:hAnsi="Calibri" w:cs="Tahoma"/>
                <w:lang w:val="en-IN"/>
              </w:rPr>
              <w:t xml:space="preserve">Physical Access </w:t>
            </w:r>
            <w:proofErr w:type="gramStart"/>
            <w:r w:rsidRPr="004A3CAF">
              <w:rPr>
                <w:rFonts w:ascii="Calibri" w:hAnsi="Calibri" w:cs="Tahoma"/>
                <w:lang w:val="en-IN"/>
              </w:rPr>
              <w:t>Authorizations  to</w:t>
            </w:r>
            <w:proofErr w:type="gramEnd"/>
            <w:r>
              <w:rPr>
                <w:rFonts w:ascii="Calibri" w:hAnsi="Calibri" w:cs="Tahoma"/>
                <w:lang w:val="en-IN"/>
              </w:rPr>
              <w:t xml:space="preserve"> </w:t>
            </w:r>
            <w:r w:rsidRPr="004A3CAF">
              <w:rPr>
                <w:rFonts w:ascii="Calibri" w:hAnsi="Calibri" w:cs="Tahoma"/>
                <w:lang w:val="en-IN"/>
              </w:rPr>
              <w:t>SMSA site is managed by security after having a formal request from department head in SMSA</w:t>
            </w:r>
          </w:p>
          <w:p w14:paraId="18F9F96E" w14:textId="77777777" w:rsidR="004A3CAF" w:rsidRPr="004A3CAF" w:rsidRDefault="004A3CAF" w:rsidP="004A3CAF">
            <w:pPr>
              <w:pStyle w:val="ListParagraph"/>
              <w:numPr>
                <w:ilvl w:val="0"/>
                <w:numId w:val="9"/>
              </w:numPr>
              <w:ind w:right="162"/>
              <w:rPr>
                <w:rFonts w:ascii="Calibri" w:hAnsi="Calibri" w:cs="Tahoma"/>
                <w:lang w:val="en-IN"/>
              </w:rPr>
            </w:pPr>
            <w:r w:rsidRPr="004A3CAF">
              <w:rPr>
                <w:rFonts w:ascii="Calibri" w:hAnsi="Calibri" w:cs="Tahoma"/>
                <w:lang w:val="en-IN"/>
              </w:rPr>
              <w:t>Role-Based Physical Access is the bases for giving access permission and access duration should be defined</w:t>
            </w:r>
          </w:p>
          <w:p w14:paraId="48E2B4C5" w14:textId="77777777" w:rsidR="004A3CAF" w:rsidRPr="004A3CAF" w:rsidRDefault="004A3CAF" w:rsidP="004A3CAF">
            <w:pPr>
              <w:pStyle w:val="ListParagraph"/>
              <w:numPr>
                <w:ilvl w:val="0"/>
                <w:numId w:val="9"/>
              </w:numPr>
              <w:ind w:right="162"/>
              <w:rPr>
                <w:rFonts w:ascii="Calibri" w:hAnsi="Calibri" w:cs="Tahoma"/>
                <w:lang w:val="en-IN"/>
              </w:rPr>
            </w:pPr>
            <w:r w:rsidRPr="004A3CAF">
              <w:rPr>
                <w:rFonts w:ascii="Calibri" w:hAnsi="Calibri" w:cs="Tahoma"/>
                <w:lang w:val="en-IN"/>
              </w:rPr>
              <w:t>Identification is a main requirement to give access permission to SMSA sites</w:t>
            </w:r>
          </w:p>
          <w:p w14:paraId="3C3DD22B" w14:textId="77777777" w:rsidR="004A3CAF" w:rsidRPr="004A3CAF" w:rsidRDefault="004A3CAF" w:rsidP="004A3CAF">
            <w:pPr>
              <w:pStyle w:val="ListParagraph"/>
              <w:numPr>
                <w:ilvl w:val="0"/>
                <w:numId w:val="9"/>
              </w:numPr>
              <w:ind w:right="162"/>
              <w:rPr>
                <w:rFonts w:ascii="Calibri" w:hAnsi="Calibri" w:cs="Tahoma"/>
                <w:lang w:val="en-IN"/>
              </w:rPr>
            </w:pPr>
            <w:r w:rsidRPr="004A3CAF">
              <w:rPr>
                <w:rFonts w:ascii="Calibri" w:hAnsi="Calibri" w:cs="Tahoma"/>
                <w:lang w:val="en-IN"/>
              </w:rPr>
              <w:t>For data</w:t>
            </w:r>
            <w:r>
              <w:rPr>
                <w:rFonts w:ascii="Calibri" w:hAnsi="Calibri" w:cs="Tahoma"/>
                <w:lang w:val="en-IN"/>
              </w:rPr>
              <w:t xml:space="preserve"> </w:t>
            </w:r>
            <w:r w:rsidRPr="004A3CAF">
              <w:rPr>
                <w:rFonts w:ascii="Calibri" w:hAnsi="Calibri" w:cs="Tahoma"/>
                <w:lang w:val="en-IN"/>
              </w:rPr>
              <w:t xml:space="preserve">centre and critical IT assets it is </w:t>
            </w:r>
            <w:proofErr w:type="gramStart"/>
            <w:r w:rsidRPr="004A3CAF">
              <w:rPr>
                <w:rFonts w:ascii="Calibri" w:hAnsi="Calibri" w:cs="Tahoma"/>
                <w:lang w:val="en-IN"/>
              </w:rPr>
              <w:t>restricted  to</w:t>
            </w:r>
            <w:proofErr w:type="gramEnd"/>
            <w:r w:rsidRPr="004A3CAF">
              <w:rPr>
                <w:rFonts w:ascii="Calibri" w:hAnsi="Calibri" w:cs="Tahoma"/>
                <w:lang w:val="en-IN"/>
              </w:rPr>
              <w:t xml:space="preserve"> have unescorted Access by IT resource</w:t>
            </w:r>
          </w:p>
          <w:p w14:paraId="2AB484FA" w14:textId="77777777" w:rsidR="004A3CAF" w:rsidRPr="004A3CAF" w:rsidRDefault="004A3CAF" w:rsidP="004A3CAF">
            <w:pPr>
              <w:pStyle w:val="ListParagraph"/>
              <w:numPr>
                <w:ilvl w:val="0"/>
                <w:numId w:val="9"/>
              </w:numPr>
              <w:ind w:right="162"/>
              <w:rPr>
                <w:rFonts w:ascii="Calibri" w:hAnsi="Calibri" w:cs="Tahoma"/>
                <w:lang w:val="en-IN"/>
              </w:rPr>
            </w:pPr>
            <w:r w:rsidRPr="004A3CAF">
              <w:rPr>
                <w:rFonts w:ascii="Calibri" w:hAnsi="Calibri" w:cs="Tahoma"/>
                <w:lang w:val="en-IN"/>
              </w:rPr>
              <w:t>Physical Access Control will be issued only based on a need approved by department head and IT employee should escort the IT facility visitors from outside SMSA</w:t>
            </w:r>
          </w:p>
          <w:p w14:paraId="6A5E3DFD" w14:textId="77777777" w:rsidR="004A3CAF" w:rsidRPr="004A3CAF" w:rsidRDefault="004A3CAF" w:rsidP="004A3CAF">
            <w:pPr>
              <w:pStyle w:val="ListParagraph"/>
              <w:numPr>
                <w:ilvl w:val="0"/>
                <w:numId w:val="9"/>
              </w:numPr>
              <w:ind w:right="162"/>
              <w:rPr>
                <w:rFonts w:ascii="Calibri" w:hAnsi="Calibri" w:cs="Tahoma"/>
                <w:lang w:val="en-IN"/>
              </w:rPr>
            </w:pPr>
            <w:r w:rsidRPr="004A3CAF">
              <w:rPr>
                <w:rFonts w:ascii="Calibri" w:hAnsi="Calibri" w:cs="Tahoma"/>
                <w:lang w:val="en-IN"/>
              </w:rPr>
              <w:t>Physical Access Logs should be maintained</w:t>
            </w:r>
          </w:p>
          <w:p w14:paraId="3C7D0494" w14:textId="77777777" w:rsidR="004A3CAF" w:rsidRPr="004A3CAF" w:rsidRDefault="004A3CAF" w:rsidP="004A3CAF">
            <w:pPr>
              <w:pStyle w:val="ListParagraph"/>
              <w:numPr>
                <w:ilvl w:val="0"/>
                <w:numId w:val="9"/>
              </w:numPr>
              <w:ind w:right="162"/>
              <w:rPr>
                <w:rFonts w:ascii="Calibri" w:hAnsi="Calibri" w:cs="Tahoma"/>
                <w:lang w:val="en-IN"/>
              </w:rPr>
            </w:pPr>
            <w:r w:rsidRPr="004A3CAF">
              <w:rPr>
                <w:rFonts w:ascii="Calibri" w:hAnsi="Calibri" w:cs="Tahoma"/>
                <w:lang w:val="en-IN"/>
              </w:rPr>
              <w:t xml:space="preserve">Access Control is restricted to all SMSA Transmission Medium such as Core switches, access switches, CCTV, communications </w:t>
            </w:r>
            <w:r>
              <w:rPr>
                <w:rFonts w:ascii="Calibri" w:hAnsi="Calibri" w:cs="Tahoma"/>
                <w:lang w:val="en-IN"/>
              </w:rPr>
              <w:t xml:space="preserve">room </w:t>
            </w:r>
            <w:r w:rsidRPr="004A3CAF">
              <w:rPr>
                <w:rFonts w:ascii="Calibri" w:hAnsi="Calibri" w:cs="Tahoma"/>
                <w:lang w:val="en-IN"/>
              </w:rPr>
              <w:t>etc.</w:t>
            </w:r>
          </w:p>
          <w:p w14:paraId="23256A4C" w14:textId="77777777" w:rsidR="004A3CAF" w:rsidRPr="004A3CAF" w:rsidRDefault="004A3CAF" w:rsidP="004A3CAF">
            <w:pPr>
              <w:pStyle w:val="ListParagraph"/>
              <w:numPr>
                <w:ilvl w:val="0"/>
                <w:numId w:val="9"/>
              </w:numPr>
              <w:ind w:right="162"/>
              <w:rPr>
                <w:rFonts w:ascii="Calibri" w:hAnsi="Calibri" w:cs="Tahoma"/>
                <w:lang w:val="en-IN"/>
              </w:rPr>
            </w:pPr>
            <w:r w:rsidRPr="004A3CAF">
              <w:rPr>
                <w:rFonts w:ascii="Calibri" w:hAnsi="Calibri" w:cs="Tahoma"/>
                <w:lang w:val="en-IN"/>
              </w:rPr>
              <w:t>There shall be a continuous monitoring of physical access using CCTV</w:t>
            </w:r>
          </w:p>
          <w:p w14:paraId="6D6BB8DA" w14:textId="77777777" w:rsidR="004A3CAF" w:rsidRDefault="004A3CAF" w:rsidP="004A3CAF">
            <w:pPr>
              <w:pStyle w:val="ListParagraph"/>
              <w:numPr>
                <w:ilvl w:val="0"/>
                <w:numId w:val="9"/>
              </w:numPr>
              <w:ind w:right="162"/>
              <w:rPr>
                <w:rFonts w:ascii="Calibri" w:hAnsi="Calibri" w:cs="Tahoma"/>
                <w:lang w:val="en-IN"/>
              </w:rPr>
            </w:pPr>
            <w:r w:rsidRPr="004A3CAF">
              <w:rPr>
                <w:rFonts w:ascii="Calibri" w:hAnsi="Calibri" w:cs="Tahoma"/>
                <w:lang w:val="en-IN"/>
              </w:rPr>
              <w:t>SMSA</w:t>
            </w:r>
            <w:r>
              <w:rPr>
                <w:rFonts w:ascii="Calibri" w:hAnsi="Calibri" w:cs="Tahoma"/>
                <w:lang w:val="en-IN"/>
              </w:rPr>
              <w:t xml:space="preserve"> </w:t>
            </w:r>
            <w:proofErr w:type="gramStart"/>
            <w:r>
              <w:rPr>
                <w:rFonts w:ascii="Calibri" w:hAnsi="Calibri" w:cs="Tahoma"/>
                <w:lang w:val="en-IN"/>
              </w:rPr>
              <w:t>v</w:t>
            </w:r>
            <w:r w:rsidRPr="004A3CAF">
              <w:rPr>
                <w:rFonts w:ascii="Calibri" w:hAnsi="Calibri" w:cs="Tahoma"/>
                <w:lang w:val="en-IN"/>
              </w:rPr>
              <w:t>isitor  will</w:t>
            </w:r>
            <w:proofErr w:type="gramEnd"/>
            <w:r w:rsidRPr="004A3CAF">
              <w:rPr>
                <w:rFonts w:ascii="Calibri" w:hAnsi="Calibri" w:cs="Tahoma"/>
                <w:lang w:val="en-IN"/>
              </w:rPr>
              <w:t xml:space="preserve"> be given a permission to allowed IT assets facilities only based on business need</w:t>
            </w:r>
          </w:p>
          <w:p w14:paraId="589F7BD4" w14:textId="77777777" w:rsidR="004A3CAF" w:rsidRDefault="004A3CAF" w:rsidP="004A3CAF">
            <w:pPr>
              <w:ind w:right="162"/>
              <w:rPr>
                <w:rFonts w:ascii="Calibri" w:hAnsi="Calibri" w:cs="Tahoma"/>
                <w:lang w:val="en-IN"/>
              </w:rPr>
            </w:pPr>
            <w:r>
              <w:rPr>
                <w:rFonts w:ascii="Calibri" w:hAnsi="Calibri" w:cs="Tahoma"/>
                <w:lang w:val="en-IN"/>
              </w:rPr>
              <w:t>Refer to Security Manual on GUIDE under Doc# 3116</w:t>
            </w:r>
            <w:r w:rsidR="00EC3401">
              <w:rPr>
                <w:rFonts w:ascii="Calibri" w:hAnsi="Calibri" w:cs="Tahoma"/>
                <w:lang w:val="en-IN"/>
              </w:rPr>
              <w:t xml:space="preserve"> for the following headings:</w:t>
            </w:r>
          </w:p>
          <w:p w14:paraId="795E5EEF" w14:textId="77777777" w:rsidR="006D1B43" w:rsidRDefault="006D1B43" w:rsidP="004A3CAF">
            <w:pPr>
              <w:spacing w:line="276" w:lineRule="auto"/>
              <w:jc w:val="both"/>
              <w:rPr>
                <w:b/>
                <w:bCs/>
              </w:rPr>
            </w:pPr>
            <w:r>
              <w:rPr>
                <w:b/>
                <w:bCs/>
              </w:rPr>
              <w:t xml:space="preserve">1.1.2 </w:t>
            </w:r>
            <w:r w:rsidR="004A3CAF">
              <w:rPr>
                <w:b/>
                <w:bCs/>
              </w:rPr>
              <w:t>Physical entry controls</w:t>
            </w:r>
          </w:p>
          <w:p w14:paraId="346CFEBF" w14:textId="77777777" w:rsidR="00EC3401" w:rsidRPr="006D1B43" w:rsidRDefault="00EC3401" w:rsidP="00EC3401">
            <w:pPr>
              <w:spacing w:line="276" w:lineRule="auto"/>
              <w:jc w:val="both"/>
              <w:rPr>
                <w:rFonts w:asciiTheme="majorBidi" w:hAnsiTheme="majorBidi" w:cstheme="majorBidi"/>
                <w:b/>
                <w:bCs/>
              </w:rPr>
            </w:pPr>
            <w:r>
              <w:rPr>
                <w:b/>
                <w:bCs/>
              </w:rPr>
              <w:t>1.1.3 Securing offices, rooms and facilities</w:t>
            </w:r>
          </w:p>
          <w:p w14:paraId="5475AC0B" w14:textId="77777777" w:rsidR="00EC3401" w:rsidRPr="006D1B43" w:rsidRDefault="00EC3401" w:rsidP="00EC3401">
            <w:pPr>
              <w:spacing w:line="276" w:lineRule="auto"/>
              <w:jc w:val="both"/>
              <w:rPr>
                <w:rFonts w:asciiTheme="majorBidi" w:hAnsiTheme="majorBidi" w:cstheme="majorBidi"/>
                <w:b/>
                <w:bCs/>
              </w:rPr>
            </w:pPr>
            <w:r>
              <w:rPr>
                <w:b/>
                <w:bCs/>
              </w:rPr>
              <w:t>1.1.4 Protecting against external and environmental threats</w:t>
            </w:r>
          </w:p>
          <w:p w14:paraId="415606DA" w14:textId="77777777" w:rsidR="00EC3401" w:rsidRPr="00EC3401" w:rsidRDefault="00EC3401" w:rsidP="00EC3401">
            <w:pPr>
              <w:pStyle w:val="ListParagraph"/>
              <w:numPr>
                <w:ilvl w:val="0"/>
                <w:numId w:val="9"/>
              </w:numPr>
              <w:ind w:right="162"/>
              <w:rPr>
                <w:rFonts w:ascii="Calibri" w:hAnsi="Calibri" w:cs="Tahoma"/>
                <w:lang w:val="en-IN"/>
              </w:rPr>
            </w:pPr>
            <w:r w:rsidRPr="00EC3401">
              <w:rPr>
                <w:rFonts w:ascii="Calibri" w:hAnsi="Calibri" w:cs="Tahoma"/>
                <w:lang w:val="en-IN"/>
              </w:rPr>
              <w:t>All SMSA IT assets should have physical protection against natural disasters, malicious attack or accidents should be designed and</w:t>
            </w:r>
            <w:r w:rsidR="00C16EB8">
              <w:rPr>
                <w:rFonts w:ascii="Calibri" w:hAnsi="Calibri" w:cs="Tahoma"/>
                <w:lang w:val="en-IN"/>
              </w:rPr>
              <w:t xml:space="preserve"> </w:t>
            </w:r>
            <w:r w:rsidRPr="00EC3401">
              <w:rPr>
                <w:rFonts w:ascii="Calibri" w:hAnsi="Calibri" w:cs="Tahoma"/>
                <w:lang w:val="en-IN"/>
              </w:rPr>
              <w:t>applied.</w:t>
            </w:r>
          </w:p>
          <w:p w14:paraId="1C519F68" w14:textId="77777777" w:rsidR="00EC3401" w:rsidRPr="00EC3401" w:rsidRDefault="00EC3401" w:rsidP="00EC3401">
            <w:pPr>
              <w:pStyle w:val="ListParagraph"/>
              <w:numPr>
                <w:ilvl w:val="0"/>
                <w:numId w:val="9"/>
              </w:numPr>
              <w:ind w:right="162"/>
              <w:rPr>
                <w:rFonts w:ascii="Calibri" w:hAnsi="Calibri" w:cs="Tahoma"/>
                <w:lang w:val="en-IN"/>
              </w:rPr>
            </w:pPr>
            <w:r w:rsidRPr="00EC3401">
              <w:rPr>
                <w:rFonts w:ascii="Calibri" w:hAnsi="Calibri" w:cs="Tahoma"/>
                <w:lang w:val="en-IN"/>
              </w:rPr>
              <w:t>SMSA</w:t>
            </w:r>
            <w:r w:rsidR="00C16EB8">
              <w:rPr>
                <w:rFonts w:ascii="Calibri" w:hAnsi="Calibri" w:cs="Tahoma"/>
                <w:lang w:val="en-IN"/>
              </w:rPr>
              <w:t xml:space="preserve"> </w:t>
            </w:r>
            <w:r w:rsidRPr="00EC3401">
              <w:rPr>
                <w:rFonts w:ascii="Calibri" w:hAnsi="Calibri" w:cs="Tahoma"/>
                <w:lang w:val="en-IN"/>
              </w:rPr>
              <w:t>data</w:t>
            </w:r>
            <w:r w:rsidR="00C16EB8">
              <w:rPr>
                <w:rFonts w:ascii="Calibri" w:hAnsi="Calibri" w:cs="Tahoma"/>
                <w:lang w:val="en-IN"/>
              </w:rPr>
              <w:t xml:space="preserve"> </w:t>
            </w:r>
            <w:r w:rsidR="00C16EB8" w:rsidRPr="00EC3401">
              <w:rPr>
                <w:rFonts w:ascii="Calibri" w:hAnsi="Calibri" w:cs="Tahoma"/>
                <w:lang w:val="en-IN"/>
              </w:rPr>
              <w:t>centre</w:t>
            </w:r>
            <w:r w:rsidRPr="00EC3401">
              <w:rPr>
                <w:rFonts w:ascii="Calibri" w:hAnsi="Calibri" w:cs="Tahoma"/>
                <w:lang w:val="en-IN"/>
              </w:rPr>
              <w:t xml:space="preserve"> shall be equipped with these physical controls:</w:t>
            </w:r>
          </w:p>
          <w:p w14:paraId="025D13D4" w14:textId="77777777" w:rsidR="00EC3401" w:rsidRPr="00EC3401" w:rsidRDefault="00EC3401" w:rsidP="00EC3401">
            <w:pPr>
              <w:pStyle w:val="ListParagraph"/>
              <w:numPr>
                <w:ilvl w:val="0"/>
                <w:numId w:val="25"/>
              </w:numPr>
              <w:ind w:right="162"/>
              <w:rPr>
                <w:rFonts w:ascii="Calibri" w:hAnsi="Calibri" w:cs="Tahoma"/>
                <w:lang w:val="en-IN"/>
              </w:rPr>
            </w:pPr>
            <w:r w:rsidRPr="00EC3401">
              <w:rPr>
                <w:rFonts w:ascii="Calibri" w:hAnsi="Calibri" w:cs="Tahoma"/>
                <w:lang w:val="en-IN"/>
              </w:rPr>
              <w:t>Smoke detectors</w:t>
            </w:r>
          </w:p>
          <w:p w14:paraId="47CE6496" w14:textId="77777777" w:rsidR="00EC3401" w:rsidRPr="00EC3401" w:rsidRDefault="00EC3401" w:rsidP="00EC3401">
            <w:pPr>
              <w:pStyle w:val="ListParagraph"/>
              <w:numPr>
                <w:ilvl w:val="0"/>
                <w:numId w:val="25"/>
              </w:numPr>
              <w:ind w:right="162"/>
              <w:rPr>
                <w:rFonts w:ascii="Calibri" w:hAnsi="Calibri" w:cs="Tahoma"/>
                <w:lang w:val="en-IN"/>
              </w:rPr>
            </w:pPr>
            <w:r w:rsidRPr="00EC3401">
              <w:rPr>
                <w:rFonts w:ascii="Calibri" w:hAnsi="Calibri" w:cs="Tahoma"/>
                <w:lang w:val="en-IN"/>
              </w:rPr>
              <w:t>Fire suppressing system</w:t>
            </w:r>
          </w:p>
          <w:p w14:paraId="53F5ADA7" w14:textId="77777777" w:rsidR="00EC3401" w:rsidRPr="00EC3401" w:rsidRDefault="00EC3401" w:rsidP="00EC3401">
            <w:pPr>
              <w:pStyle w:val="ListParagraph"/>
              <w:numPr>
                <w:ilvl w:val="0"/>
                <w:numId w:val="25"/>
              </w:numPr>
              <w:ind w:right="162"/>
              <w:rPr>
                <w:rFonts w:ascii="Calibri" w:hAnsi="Calibri" w:cs="Tahoma"/>
                <w:lang w:val="en-IN"/>
              </w:rPr>
            </w:pPr>
            <w:r w:rsidRPr="00EC3401">
              <w:rPr>
                <w:rFonts w:ascii="Calibri" w:hAnsi="Calibri" w:cs="Tahoma"/>
                <w:lang w:val="en-IN"/>
              </w:rPr>
              <w:t>Fire Alarm</w:t>
            </w:r>
          </w:p>
          <w:p w14:paraId="1313C460" w14:textId="77777777" w:rsidR="00EC3401" w:rsidRPr="00EC3401" w:rsidRDefault="00EC3401" w:rsidP="00EC3401">
            <w:pPr>
              <w:pStyle w:val="ListParagraph"/>
              <w:numPr>
                <w:ilvl w:val="0"/>
                <w:numId w:val="25"/>
              </w:numPr>
              <w:ind w:right="162"/>
              <w:rPr>
                <w:rFonts w:ascii="Calibri" w:hAnsi="Calibri" w:cs="Tahoma"/>
                <w:lang w:val="en-IN"/>
              </w:rPr>
            </w:pPr>
            <w:r w:rsidRPr="00EC3401">
              <w:rPr>
                <w:rFonts w:ascii="Calibri" w:hAnsi="Calibri" w:cs="Tahoma"/>
                <w:lang w:val="en-IN"/>
              </w:rPr>
              <w:t>Water detector</w:t>
            </w:r>
          </w:p>
          <w:p w14:paraId="78614F25" w14:textId="77777777" w:rsidR="00EC3401" w:rsidRPr="00EC3401" w:rsidRDefault="00EC3401" w:rsidP="00EC3401">
            <w:pPr>
              <w:pStyle w:val="ListParagraph"/>
              <w:numPr>
                <w:ilvl w:val="0"/>
                <w:numId w:val="25"/>
              </w:numPr>
              <w:ind w:right="162"/>
              <w:rPr>
                <w:rFonts w:ascii="Calibri" w:hAnsi="Calibri" w:cs="Tahoma"/>
                <w:lang w:val="en-IN"/>
              </w:rPr>
            </w:pPr>
            <w:r w:rsidRPr="00EC3401">
              <w:rPr>
                <w:rFonts w:ascii="Calibri" w:hAnsi="Calibri" w:cs="Tahoma"/>
                <w:lang w:val="en-IN"/>
              </w:rPr>
              <w:t>CCTV solutions</w:t>
            </w:r>
          </w:p>
          <w:p w14:paraId="48262817" w14:textId="77777777" w:rsidR="00EC3401" w:rsidRPr="00EC3401" w:rsidRDefault="00EC3401" w:rsidP="00EC3401">
            <w:pPr>
              <w:pStyle w:val="ListParagraph"/>
              <w:numPr>
                <w:ilvl w:val="0"/>
                <w:numId w:val="25"/>
              </w:numPr>
              <w:ind w:right="162"/>
              <w:rPr>
                <w:rFonts w:ascii="Calibri" w:hAnsi="Calibri" w:cs="Tahoma"/>
                <w:lang w:val="en-IN"/>
              </w:rPr>
            </w:pPr>
            <w:r w:rsidRPr="00EC3401">
              <w:rPr>
                <w:rFonts w:ascii="Calibri" w:hAnsi="Calibri" w:cs="Tahoma"/>
                <w:lang w:val="en-IN"/>
              </w:rPr>
              <w:t>Environmental monitoring tool capable to send SMS and Email upon incident</w:t>
            </w:r>
          </w:p>
          <w:p w14:paraId="7ADCD8B0" w14:textId="77777777" w:rsidR="00EC3401" w:rsidRPr="00EC3401" w:rsidRDefault="00EC3401" w:rsidP="00EC3401">
            <w:pPr>
              <w:pStyle w:val="ListParagraph"/>
              <w:numPr>
                <w:ilvl w:val="0"/>
                <w:numId w:val="25"/>
              </w:numPr>
              <w:ind w:right="162"/>
              <w:rPr>
                <w:rFonts w:ascii="Calibri" w:hAnsi="Calibri" w:cs="Tahoma"/>
                <w:lang w:val="en-IN"/>
              </w:rPr>
            </w:pPr>
            <w:r w:rsidRPr="00EC3401">
              <w:rPr>
                <w:rFonts w:ascii="Calibri" w:hAnsi="Calibri" w:cs="Tahoma"/>
                <w:lang w:val="en-IN"/>
              </w:rPr>
              <w:t>USP</w:t>
            </w:r>
          </w:p>
          <w:p w14:paraId="0571CC15" w14:textId="77777777" w:rsidR="00EC3401" w:rsidRPr="00EC3401" w:rsidRDefault="00EC3401" w:rsidP="00EC3401">
            <w:pPr>
              <w:pStyle w:val="ListParagraph"/>
              <w:numPr>
                <w:ilvl w:val="0"/>
                <w:numId w:val="25"/>
              </w:numPr>
              <w:ind w:right="162"/>
              <w:rPr>
                <w:rFonts w:ascii="Calibri" w:hAnsi="Calibri" w:cs="Tahoma"/>
                <w:lang w:val="en-IN"/>
              </w:rPr>
            </w:pPr>
            <w:r w:rsidRPr="00EC3401">
              <w:rPr>
                <w:rFonts w:ascii="Calibri" w:hAnsi="Calibri" w:cs="Tahoma"/>
                <w:lang w:val="en-IN"/>
              </w:rPr>
              <w:lastRenderedPageBreak/>
              <w:t>A/C with redundancy</w:t>
            </w:r>
          </w:p>
          <w:p w14:paraId="79AEE3B8" w14:textId="77777777" w:rsidR="00EC3401" w:rsidRDefault="00EC3401" w:rsidP="00EC3401">
            <w:pPr>
              <w:pStyle w:val="ListParagraph"/>
              <w:numPr>
                <w:ilvl w:val="0"/>
                <w:numId w:val="9"/>
              </w:numPr>
              <w:ind w:right="162"/>
              <w:rPr>
                <w:rFonts w:ascii="Calibri" w:hAnsi="Calibri" w:cs="Tahoma"/>
                <w:lang w:val="en-IN"/>
              </w:rPr>
            </w:pPr>
            <w:r w:rsidRPr="00EC3401">
              <w:rPr>
                <w:rFonts w:ascii="Calibri" w:hAnsi="Calibri" w:cs="Tahoma"/>
                <w:lang w:val="en-IN"/>
              </w:rPr>
              <w:t>SMSA</w:t>
            </w:r>
            <w:r w:rsidR="00C16EB8">
              <w:rPr>
                <w:rFonts w:ascii="Calibri" w:hAnsi="Calibri" w:cs="Tahoma"/>
                <w:lang w:val="en-IN"/>
              </w:rPr>
              <w:t xml:space="preserve"> </w:t>
            </w:r>
            <w:r w:rsidRPr="00EC3401">
              <w:rPr>
                <w:rFonts w:ascii="Calibri" w:hAnsi="Calibri" w:cs="Tahoma"/>
                <w:lang w:val="en-IN"/>
              </w:rPr>
              <w:t>data</w:t>
            </w:r>
            <w:r w:rsidR="00C16EB8">
              <w:rPr>
                <w:rFonts w:ascii="Calibri" w:hAnsi="Calibri" w:cs="Tahoma"/>
                <w:lang w:val="en-IN"/>
              </w:rPr>
              <w:t xml:space="preserve"> </w:t>
            </w:r>
            <w:r w:rsidR="00C16EB8" w:rsidRPr="00EC3401">
              <w:rPr>
                <w:rFonts w:ascii="Calibri" w:hAnsi="Calibri" w:cs="Tahoma"/>
                <w:lang w:val="en-IN"/>
              </w:rPr>
              <w:t>centre</w:t>
            </w:r>
            <w:r w:rsidRPr="00EC3401">
              <w:rPr>
                <w:rFonts w:ascii="Calibri" w:hAnsi="Calibri" w:cs="Tahoma"/>
                <w:lang w:val="en-IN"/>
              </w:rPr>
              <w:t xml:space="preserve"> door shall be made of built and fire-proof materials.</w:t>
            </w:r>
          </w:p>
          <w:p w14:paraId="4562FC7C" w14:textId="77777777" w:rsidR="00C16EB8" w:rsidRPr="00EC3401" w:rsidRDefault="00C16EB8" w:rsidP="00EC3401">
            <w:pPr>
              <w:pStyle w:val="ListParagraph"/>
              <w:numPr>
                <w:ilvl w:val="0"/>
                <w:numId w:val="9"/>
              </w:numPr>
              <w:ind w:right="162"/>
              <w:rPr>
                <w:rFonts w:ascii="Calibri" w:hAnsi="Calibri" w:cs="Tahoma"/>
                <w:lang w:val="en-IN"/>
              </w:rPr>
            </w:pPr>
            <w:r>
              <w:rPr>
                <w:rFonts w:ascii="Calibri" w:hAnsi="Calibri" w:cs="Tahoma"/>
                <w:lang w:val="en-IN"/>
              </w:rPr>
              <w:t xml:space="preserve">If the above </w:t>
            </w:r>
            <w:proofErr w:type="gramStart"/>
            <w:r>
              <w:rPr>
                <w:rFonts w:ascii="Calibri" w:hAnsi="Calibri" w:cs="Tahoma"/>
                <w:lang w:val="en-IN"/>
              </w:rPr>
              <w:t>are</w:t>
            </w:r>
            <w:proofErr w:type="gramEnd"/>
            <w:r>
              <w:rPr>
                <w:rFonts w:ascii="Calibri" w:hAnsi="Calibri" w:cs="Tahoma"/>
                <w:lang w:val="en-IN"/>
              </w:rPr>
              <w:t xml:space="preserve"> not maintained, initiatives to implement this must be in place and communicated to the top management.</w:t>
            </w:r>
          </w:p>
          <w:p w14:paraId="017CF798" w14:textId="77777777" w:rsidR="006D1B43" w:rsidRDefault="00B849F2" w:rsidP="00C16EB8">
            <w:pPr>
              <w:ind w:right="162"/>
              <w:jc w:val="both"/>
              <w:rPr>
                <w:rFonts w:ascii="Calibri" w:hAnsi="Calibri" w:cs="Tahoma"/>
                <w:b/>
                <w:bCs/>
                <w:lang w:val="en-IN"/>
              </w:rPr>
            </w:pPr>
            <w:r>
              <w:rPr>
                <w:rFonts w:ascii="Calibri" w:hAnsi="Calibri" w:cs="Tahoma"/>
                <w:b/>
                <w:bCs/>
                <w:lang w:val="en-IN"/>
              </w:rPr>
              <w:t>1.</w:t>
            </w:r>
            <w:r w:rsidR="006D1B43">
              <w:rPr>
                <w:rFonts w:ascii="Calibri" w:hAnsi="Calibri" w:cs="Tahoma"/>
                <w:b/>
                <w:bCs/>
                <w:lang w:val="en-IN"/>
              </w:rPr>
              <w:t>1</w:t>
            </w:r>
            <w:r>
              <w:rPr>
                <w:rFonts w:ascii="Calibri" w:hAnsi="Calibri" w:cs="Tahoma"/>
                <w:b/>
                <w:bCs/>
                <w:lang w:val="en-IN"/>
              </w:rPr>
              <w:t>.</w:t>
            </w:r>
            <w:r w:rsidR="00C16EB8">
              <w:rPr>
                <w:rFonts w:ascii="Calibri" w:hAnsi="Calibri" w:cs="Tahoma"/>
                <w:b/>
                <w:bCs/>
                <w:lang w:val="en-IN"/>
              </w:rPr>
              <w:t>5</w:t>
            </w:r>
            <w:r w:rsidR="006D1B43">
              <w:rPr>
                <w:rFonts w:ascii="Calibri" w:hAnsi="Calibri" w:cs="Tahoma"/>
                <w:b/>
                <w:bCs/>
                <w:lang w:val="en-IN"/>
              </w:rPr>
              <w:t xml:space="preserve"> </w:t>
            </w:r>
            <w:r w:rsidR="00C16EB8">
              <w:rPr>
                <w:rFonts w:ascii="Calibri" w:hAnsi="Calibri" w:cs="Tahoma"/>
                <w:b/>
                <w:bCs/>
                <w:lang w:val="en-IN"/>
              </w:rPr>
              <w:t>Working in secure areas</w:t>
            </w:r>
          </w:p>
          <w:p w14:paraId="32332DD4" w14:textId="77777777" w:rsidR="00C16EB8" w:rsidRPr="00C16EB8" w:rsidRDefault="00C16EB8" w:rsidP="00C16EB8">
            <w:pPr>
              <w:pStyle w:val="ListParagraph"/>
              <w:numPr>
                <w:ilvl w:val="0"/>
                <w:numId w:val="9"/>
              </w:numPr>
              <w:ind w:right="162"/>
              <w:rPr>
                <w:rFonts w:ascii="Calibri" w:hAnsi="Calibri" w:cs="Tahoma"/>
                <w:lang w:val="en-IN"/>
              </w:rPr>
            </w:pPr>
            <w:r w:rsidRPr="00C16EB8">
              <w:rPr>
                <w:rFonts w:ascii="Calibri" w:hAnsi="Calibri" w:cs="Tahoma"/>
                <w:lang w:val="en-IN"/>
              </w:rPr>
              <w:t>SMSA employees and guests should only be aware of the existence of, or activities within, a secure area on a need-to-know basis.</w:t>
            </w:r>
          </w:p>
          <w:p w14:paraId="7071ECEA" w14:textId="77777777" w:rsidR="00C16EB8" w:rsidRPr="00C16EB8" w:rsidRDefault="00C16EB8" w:rsidP="00C16EB8">
            <w:pPr>
              <w:pStyle w:val="ListParagraph"/>
              <w:numPr>
                <w:ilvl w:val="0"/>
                <w:numId w:val="9"/>
              </w:numPr>
              <w:ind w:right="162"/>
              <w:rPr>
                <w:rFonts w:ascii="Calibri" w:hAnsi="Calibri" w:cs="Tahoma"/>
                <w:lang w:val="en-IN"/>
              </w:rPr>
            </w:pPr>
            <w:r w:rsidRPr="00C16EB8">
              <w:rPr>
                <w:rFonts w:ascii="Calibri" w:hAnsi="Calibri" w:cs="Tahoma"/>
                <w:lang w:val="en-IN"/>
              </w:rPr>
              <w:t>Unsupervised working in secure areas should be avoided both for safety reasons and to prevent opportunities for malicious activities.</w:t>
            </w:r>
          </w:p>
          <w:p w14:paraId="5D9ABC9D" w14:textId="77777777" w:rsidR="00C16EB8" w:rsidRPr="00C16EB8" w:rsidRDefault="00C16EB8" w:rsidP="00C16EB8">
            <w:pPr>
              <w:pStyle w:val="ListParagraph"/>
              <w:numPr>
                <w:ilvl w:val="0"/>
                <w:numId w:val="9"/>
              </w:numPr>
              <w:ind w:right="162"/>
              <w:rPr>
                <w:rFonts w:ascii="Calibri" w:hAnsi="Calibri" w:cs="Tahoma"/>
                <w:lang w:val="en-IN"/>
              </w:rPr>
            </w:pPr>
            <w:r w:rsidRPr="00C16EB8">
              <w:rPr>
                <w:rFonts w:ascii="Calibri" w:hAnsi="Calibri" w:cs="Tahoma"/>
                <w:lang w:val="en-IN"/>
              </w:rPr>
              <w:t>Vacant secure areas should be physically locked and periodically reviewed.</w:t>
            </w:r>
          </w:p>
          <w:p w14:paraId="1442AEFA" w14:textId="77777777" w:rsidR="00C16EB8" w:rsidRPr="00C16EB8" w:rsidRDefault="00C16EB8" w:rsidP="00C16EB8">
            <w:pPr>
              <w:pStyle w:val="ListParagraph"/>
              <w:numPr>
                <w:ilvl w:val="0"/>
                <w:numId w:val="9"/>
              </w:numPr>
              <w:ind w:right="162"/>
              <w:rPr>
                <w:rFonts w:ascii="Calibri" w:hAnsi="Calibri" w:cs="Tahoma"/>
                <w:lang w:val="en-IN"/>
              </w:rPr>
            </w:pPr>
            <w:r w:rsidRPr="00C16EB8">
              <w:rPr>
                <w:rFonts w:ascii="Calibri" w:hAnsi="Calibri" w:cs="Tahoma"/>
                <w:lang w:val="en-IN"/>
              </w:rPr>
              <w:t>Within SMSA premises Photographic, video, audio or other recording equipment, such as cameras in mobile devices, should not be allowed, unless authorized.</w:t>
            </w:r>
          </w:p>
          <w:p w14:paraId="5D3F5B6D" w14:textId="77777777" w:rsidR="00B849F2" w:rsidRDefault="006547CC" w:rsidP="006547CC">
            <w:pPr>
              <w:ind w:right="162"/>
              <w:jc w:val="both"/>
              <w:rPr>
                <w:rFonts w:ascii="Calibri" w:hAnsi="Calibri" w:cs="Tahoma"/>
                <w:b/>
                <w:bCs/>
                <w:lang w:val="en-IN"/>
              </w:rPr>
            </w:pPr>
            <w:r>
              <w:rPr>
                <w:rFonts w:ascii="Calibri" w:hAnsi="Calibri" w:cs="Tahoma"/>
                <w:b/>
                <w:bCs/>
                <w:lang w:val="en-IN"/>
              </w:rPr>
              <w:t>1.1.6</w:t>
            </w:r>
            <w:r w:rsidR="00B849F2">
              <w:rPr>
                <w:rFonts w:ascii="Calibri" w:hAnsi="Calibri" w:cs="Tahoma"/>
                <w:b/>
                <w:bCs/>
                <w:lang w:val="en-IN"/>
              </w:rPr>
              <w:t xml:space="preserve"> </w:t>
            </w:r>
            <w:r>
              <w:rPr>
                <w:rFonts w:ascii="Calibri" w:hAnsi="Calibri" w:cs="Tahoma"/>
                <w:b/>
                <w:bCs/>
                <w:lang w:val="en-IN"/>
              </w:rPr>
              <w:t>Delivery and loading areas</w:t>
            </w:r>
          </w:p>
          <w:p w14:paraId="62A33DB0" w14:textId="77777777" w:rsidR="00B849F2" w:rsidRPr="006547CC" w:rsidRDefault="006547CC" w:rsidP="006547CC">
            <w:pPr>
              <w:ind w:right="162"/>
              <w:rPr>
                <w:rFonts w:ascii="Calibri" w:hAnsi="Calibri" w:cs="Tahoma"/>
                <w:lang w:val="en-IN"/>
              </w:rPr>
            </w:pPr>
            <w:r>
              <w:rPr>
                <w:rFonts w:ascii="Calibri" w:hAnsi="Calibri" w:cs="Tahoma"/>
                <w:lang w:val="en-IN"/>
              </w:rPr>
              <w:t>Refer to Security Manual on GUIDE under Doc# 3116.</w:t>
            </w:r>
          </w:p>
          <w:p w14:paraId="2B8261A7" w14:textId="77777777" w:rsidR="006D1B43" w:rsidRPr="00B849F2" w:rsidRDefault="00B849F2" w:rsidP="006547CC">
            <w:pPr>
              <w:ind w:right="162"/>
              <w:jc w:val="both"/>
              <w:rPr>
                <w:rFonts w:ascii="Calibri" w:hAnsi="Calibri" w:cs="Tahoma"/>
                <w:b/>
                <w:bCs/>
                <w:u w:val="single"/>
                <w:lang w:val="en-IN"/>
              </w:rPr>
            </w:pPr>
            <w:r w:rsidRPr="00B849F2">
              <w:rPr>
                <w:rFonts w:ascii="Calibri" w:hAnsi="Calibri" w:cs="Tahoma"/>
                <w:b/>
                <w:bCs/>
                <w:u w:val="single"/>
                <w:lang w:val="en-IN"/>
              </w:rPr>
              <w:t>1.2</w:t>
            </w:r>
            <w:r w:rsidR="006D1B43" w:rsidRPr="00B849F2">
              <w:rPr>
                <w:rFonts w:ascii="Calibri" w:hAnsi="Calibri" w:cs="Tahoma"/>
                <w:b/>
                <w:bCs/>
                <w:u w:val="single"/>
                <w:lang w:val="en-IN"/>
              </w:rPr>
              <w:t xml:space="preserve"> </w:t>
            </w:r>
            <w:r w:rsidR="006547CC">
              <w:rPr>
                <w:rFonts w:ascii="Calibri" w:hAnsi="Calibri" w:cs="Tahoma"/>
                <w:b/>
                <w:bCs/>
                <w:u w:val="single"/>
                <w:lang w:val="en-IN"/>
              </w:rPr>
              <w:t>Equipment</w:t>
            </w:r>
          </w:p>
          <w:p w14:paraId="43E91FE8" w14:textId="77777777" w:rsidR="00B849F2" w:rsidRDefault="00B849F2" w:rsidP="006547CC">
            <w:pPr>
              <w:ind w:right="162"/>
              <w:jc w:val="both"/>
              <w:rPr>
                <w:rFonts w:ascii="Calibri" w:hAnsi="Calibri" w:cs="Tahoma"/>
                <w:b/>
                <w:bCs/>
                <w:lang w:val="en-IN"/>
              </w:rPr>
            </w:pPr>
            <w:r w:rsidRPr="00B849F2">
              <w:rPr>
                <w:rFonts w:ascii="Calibri" w:hAnsi="Calibri" w:cs="Tahoma"/>
                <w:b/>
                <w:bCs/>
                <w:lang w:val="en-IN"/>
              </w:rPr>
              <w:t xml:space="preserve">1.2.1 </w:t>
            </w:r>
            <w:r w:rsidR="006547CC">
              <w:rPr>
                <w:rFonts w:ascii="Calibri" w:hAnsi="Calibri" w:cs="Tahoma"/>
                <w:b/>
                <w:bCs/>
                <w:lang w:val="en-IN"/>
              </w:rPr>
              <w:t>Equipment siting and protection</w:t>
            </w:r>
          </w:p>
          <w:p w14:paraId="6179D1C2"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All Servers to be located inside DC.</w:t>
            </w:r>
          </w:p>
          <w:p w14:paraId="1970EE73"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 xml:space="preserve">All core switches to be located inside </w:t>
            </w:r>
            <w:proofErr w:type="spellStart"/>
            <w:r w:rsidRPr="006547CC">
              <w:rPr>
                <w:rFonts w:ascii="Calibri" w:hAnsi="Calibri" w:cs="Tahoma"/>
                <w:lang w:val="en-IN"/>
              </w:rPr>
              <w:t>Datacenter</w:t>
            </w:r>
            <w:proofErr w:type="spellEnd"/>
            <w:r w:rsidRPr="006547CC">
              <w:rPr>
                <w:rFonts w:ascii="Calibri" w:hAnsi="Calibri" w:cs="Tahoma"/>
                <w:lang w:val="en-IN"/>
              </w:rPr>
              <w:t xml:space="preserve"> or in locked place with A/</w:t>
            </w:r>
            <w:proofErr w:type="gramStart"/>
            <w:r w:rsidRPr="006547CC">
              <w:rPr>
                <w:rFonts w:ascii="Calibri" w:hAnsi="Calibri" w:cs="Tahoma"/>
                <w:lang w:val="en-IN"/>
              </w:rPr>
              <w:t>C ,</w:t>
            </w:r>
            <w:proofErr w:type="gramEnd"/>
            <w:r w:rsidRPr="006547CC">
              <w:rPr>
                <w:rFonts w:ascii="Calibri" w:hAnsi="Calibri" w:cs="Tahoma"/>
                <w:lang w:val="en-IN"/>
              </w:rPr>
              <w:t xml:space="preserve"> Power </w:t>
            </w:r>
            <w:proofErr w:type="gramStart"/>
            <w:r w:rsidRPr="006547CC">
              <w:rPr>
                <w:rFonts w:ascii="Calibri" w:hAnsi="Calibri" w:cs="Tahoma"/>
                <w:lang w:val="en-IN"/>
              </w:rPr>
              <w:t>Redundancy ,</w:t>
            </w:r>
            <w:proofErr w:type="gramEnd"/>
            <w:r w:rsidRPr="006547CC">
              <w:rPr>
                <w:rFonts w:ascii="Calibri" w:hAnsi="Calibri" w:cs="Tahoma"/>
                <w:lang w:val="en-IN"/>
              </w:rPr>
              <w:t xml:space="preserve"> Fire</w:t>
            </w:r>
            <w:r>
              <w:rPr>
                <w:rFonts w:ascii="Calibri" w:hAnsi="Calibri" w:cs="Tahoma"/>
                <w:lang w:val="en-IN"/>
              </w:rPr>
              <w:t xml:space="preserve"> </w:t>
            </w:r>
            <w:r w:rsidRPr="006547CC">
              <w:rPr>
                <w:rFonts w:ascii="Calibri" w:hAnsi="Calibri" w:cs="Tahoma"/>
                <w:lang w:val="en-IN"/>
              </w:rPr>
              <w:t>suppressing</w:t>
            </w:r>
            <w:r>
              <w:rPr>
                <w:rFonts w:ascii="Calibri" w:hAnsi="Calibri" w:cs="Tahoma"/>
                <w:lang w:val="en-IN"/>
              </w:rPr>
              <w:t xml:space="preserve"> s</w:t>
            </w:r>
            <w:r w:rsidRPr="006547CC">
              <w:rPr>
                <w:rFonts w:ascii="Calibri" w:hAnsi="Calibri" w:cs="Tahoma"/>
                <w:lang w:val="en-IN"/>
              </w:rPr>
              <w:t>ystem.</w:t>
            </w:r>
          </w:p>
          <w:p w14:paraId="1C7865A1"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 All Access switches to be locked.</w:t>
            </w:r>
          </w:p>
          <w:p w14:paraId="51DF9FA3"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All communication devices to be located in a secured location.</w:t>
            </w:r>
          </w:p>
          <w:p w14:paraId="0AFC1B5E"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All routers, firewall, critical infrastructure devices to be located inside DC or in a secured location with enough physical controls.</w:t>
            </w:r>
          </w:p>
          <w:p w14:paraId="04B28EE3"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All IT assets to work under conditions which will not damage the asset.</w:t>
            </w:r>
          </w:p>
          <w:p w14:paraId="5120549C"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All access to IT assets is restricted with justification and approval from asset owner.</w:t>
            </w:r>
          </w:p>
          <w:p w14:paraId="605ABCB6"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 xml:space="preserve">All Food and drinks are not allowed inside </w:t>
            </w:r>
            <w:proofErr w:type="gramStart"/>
            <w:r w:rsidRPr="006547CC">
              <w:rPr>
                <w:rFonts w:ascii="Calibri" w:hAnsi="Calibri" w:cs="Tahoma"/>
                <w:lang w:val="en-IN"/>
              </w:rPr>
              <w:t>DC .</w:t>
            </w:r>
            <w:proofErr w:type="gramEnd"/>
          </w:p>
          <w:p w14:paraId="14067C5E"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Smoking is not allowed in IT working area.</w:t>
            </w:r>
          </w:p>
          <w:p w14:paraId="57DDEB5A"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Environmental conditions inside DC to be monitored with SMS and Email sending feature.</w:t>
            </w:r>
          </w:p>
          <w:p w14:paraId="779AC74A"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Motion detector to be installed inside DC.</w:t>
            </w:r>
          </w:p>
          <w:p w14:paraId="07DC5BCB"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CCTV to be used to monitor all IT locations.</w:t>
            </w:r>
          </w:p>
          <w:p w14:paraId="2BBA429B" w14:textId="77777777" w:rsidR="006547CC" w:rsidRPr="006547CC" w:rsidRDefault="006547CC" w:rsidP="006547CC">
            <w:pPr>
              <w:pStyle w:val="ListParagraph"/>
              <w:numPr>
                <w:ilvl w:val="0"/>
                <w:numId w:val="9"/>
              </w:numPr>
              <w:ind w:right="162"/>
              <w:rPr>
                <w:rFonts w:ascii="Calibri" w:hAnsi="Calibri" w:cs="Tahoma"/>
                <w:lang w:val="en-IN"/>
              </w:rPr>
            </w:pPr>
            <w:r w:rsidRPr="006547CC">
              <w:rPr>
                <w:rFonts w:ascii="Calibri" w:hAnsi="Calibri" w:cs="Tahoma"/>
                <w:lang w:val="en-IN"/>
              </w:rPr>
              <w:t>Backup lighting system to be installed inside DC and Communication rooms.</w:t>
            </w:r>
          </w:p>
          <w:p w14:paraId="2399EF34" w14:textId="77777777" w:rsidR="006D1B43" w:rsidRPr="006D1B43" w:rsidRDefault="006D1B43" w:rsidP="006547CC">
            <w:pPr>
              <w:ind w:right="162"/>
              <w:jc w:val="both"/>
              <w:rPr>
                <w:rFonts w:ascii="Calibri" w:hAnsi="Calibri" w:cs="Tahoma"/>
                <w:b/>
                <w:bCs/>
                <w:lang w:val="en-IN"/>
              </w:rPr>
            </w:pPr>
            <w:r>
              <w:rPr>
                <w:rFonts w:ascii="Calibri" w:hAnsi="Calibri" w:cs="Tahoma"/>
                <w:b/>
                <w:bCs/>
                <w:lang w:val="en-IN"/>
              </w:rPr>
              <w:t>1.2.</w:t>
            </w:r>
            <w:r w:rsidR="00C06DED">
              <w:rPr>
                <w:rFonts w:ascii="Calibri" w:hAnsi="Calibri" w:cs="Tahoma"/>
                <w:b/>
                <w:bCs/>
                <w:lang w:val="en-IN"/>
              </w:rPr>
              <w:t>2</w:t>
            </w:r>
            <w:r>
              <w:rPr>
                <w:rFonts w:ascii="Calibri" w:hAnsi="Calibri" w:cs="Tahoma"/>
                <w:b/>
                <w:bCs/>
                <w:lang w:val="en-IN"/>
              </w:rPr>
              <w:t xml:space="preserve"> </w:t>
            </w:r>
            <w:r w:rsidR="006547CC">
              <w:rPr>
                <w:rFonts w:ascii="Calibri" w:hAnsi="Calibri" w:cs="Tahoma"/>
                <w:b/>
                <w:bCs/>
                <w:lang w:val="en-IN"/>
              </w:rPr>
              <w:t>Supporting utilities</w:t>
            </w:r>
          </w:p>
          <w:p w14:paraId="637A6EE3"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 xml:space="preserve">All DC assets to be protected against all hazards with physical controls such as (UPS, A/C, Fire suppressing system, Motion detector, Flood </w:t>
            </w:r>
            <w:proofErr w:type="gramStart"/>
            <w:r w:rsidRPr="00794B7D">
              <w:rPr>
                <w:rFonts w:ascii="Calibri" w:hAnsi="Calibri" w:cs="Tahoma"/>
                <w:lang w:val="en-IN"/>
              </w:rPr>
              <w:t>detectors  ...</w:t>
            </w:r>
            <w:proofErr w:type="gramEnd"/>
            <w:r w:rsidRPr="00794B7D">
              <w:rPr>
                <w:rFonts w:ascii="Calibri" w:hAnsi="Calibri" w:cs="Tahoma"/>
                <w:lang w:val="en-IN"/>
              </w:rPr>
              <w:t>etc.)</w:t>
            </w:r>
          </w:p>
          <w:p w14:paraId="6AFCE1DD"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Capacity shall be assessed after expansion is planned.</w:t>
            </w:r>
          </w:p>
          <w:p w14:paraId="0271CE9B"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Periodical test of all supporting utilities shall be executed by IT.</w:t>
            </w:r>
          </w:p>
          <w:p w14:paraId="630FB266"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 xml:space="preserve">Alarm system to be installed in DC, Backup DC, Warehouse, Switching rooms and </w:t>
            </w:r>
            <w:r w:rsidRPr="00794B7D">
              <w:rPr>
                <w:rFonts w:ascii="Calibri" w:hAnsi="Calibri" w:cs="Tahoma"/>
                <w:lang w:val="en-IN"/>
              </w:rPr>
              <w:lastRenderedPageBreak/>
              <w:t>other critical locations.</w:t>
            </w:r>
          </w:p>
          <w:p w14:paraId="6C3BE5B2" w14:textId="77777777" w:rsidR="006D1B43" w:rsidRPr="006D1B43" w:rsidRDefault="006D1B43" w:rsidP="00794B7D">
            <w:pPr>
              <w:ind w:right="162"/>
              <w:jc w:val="both"/>
              <w:rPr>
                <w:rFonts w:ascii="Calibri" w:hAnsi="Calibri" w:cs="Tahoma"/>
                <w:b/>
                <w:bCs/>
                <w:lang w:val="en-IN"/>
              </w:rPr>
            </w:pPr>
            <w:r w:rsidRPr="006D1B43">
              <w:rPr>
                <w:rFonts w:ascii="Calibri" w:hAnsi="Calibri" w:cs="Tahoma"/>
                <w:b/>
                <w:bCs/>
                <w:lang w:val="en-IN"/>
              </w:rPr>
              <w:t>1.2.</w:t>
            </w:r>
            <w:r w:rsidR="00C06DED">
              <w:rPr>
                <w:rFonts w:ascii="Calibri" w:hAnsi="Calibri" w:cs="Tahoma"/>
                <w:b/>
                <w:bCs/>
                <w:lang w:val="en-IN"/>
              </w:rPr>
              <w:t>3</w:t>
            </w:r>
            <w:r>
              <w:rPr>
                <w:rFonts w:ascii="Calibri" w:hAnsi="Calibri" w:cs="Tahoma"/>
                <w:lang w:val="en-IN"/>
              </w:rPr>
              <w:t xml:space="preserve"> </w:t>
            </w:r>
            <w:r w:rsidR="00794B7D">
              <w:rPr>
                <w:rFonts w:ascii="Calibri" w:hAnsi="Calibri" w:cs="Tahoma"/>
                <w:b/>
                <w:bCs/>
                <w:lang w:val="en-IN"/>
              </w:rPr>
              <w:t>Cabling security</w:t>
            </w:r>
          </w:p>
          <w:p w14:paraId="50E7CB0F"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All cables shall be labelled</w:t>
            </w:r>
          </w:p>
          <w:p w14:paraId="6765DFC7"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Cables shall be grouped together in panels</w:t>
            </w:r>
          </w:p>
          <w:p w14:paraId="4A46D39F"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Cables shall be isolated from electric cables</w:t>
            </w:r>
          </w:p>
          <w:p w14:paraId="1A315E0B"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Lose connections and connecting two cables are not allowed</w:t>
            </w:r>
          </w:p>
          <w:p w14:paraId="72F19952"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 xml:space="preserve">CAT 6 or above and </w:t>
            </w:r>
            <w:r>
              <w:rPr>
                <w:rFonts w:ascii="Calibri" w:hAnsi="Calibri" w:cs="Tahoma"/>
                <w:lang w:val="en-IN"/>
              </w:rPr>
              <w:t>Fib</w:t>
            </w:r>
            <w:r w:rsidRPr="00794B7D">
              <w:rPr>
                <w:rFonts w:ascii="Calibri" w:hAnsi="Calibri" w:cs="Tahoma"/>
                <w:lang w:val="en-IN"/>
              </w:rPr>
              <w:t>er optics cables are used based on the distance and bandwidth.</w:t>
            </w:r>
          </w:p>
          <w:p w14:paraId="3993CA03"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Servers to be connected in between and SAN storage with Fibber connections</w:t>
            </w:r>
          </w:p>
          <w:p w14:paraId="75B9AC3A"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Communication cables shall be underground whenever it is possible</w:t>
            </w:r>
          </w:p>
          <w:p w14:paraId="6F1136C9"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All cables shall be terminated inside locked racks or network devices</w:t>
            </w:r>
          </w:p>
          <w:p w14:paraId="026FB7D5"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Whenever possible cables shall be isolated from electromagnetic fields</w:t>
            </w:r>
          </w:p>
          <w:p w14:paraId="12EC0EC5"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Unauthorized device shall not be connected to network cables</w:t>
            </w:r>
          </w:p>
          <w:p w14:paraId="04FF4B60" w14:textId="77777777" w:rsidR="00794B7D" w:rsidRPr="00794B7D" w:rsidRDefault="00794B7D" w:rsidP="00794B7D">
            <w:pPr>
              <w:pStyle w:val="ListParagraph"/>
              <w:numPr>
                <w:ilvl w:val="0"/>
                <w:numId w:val="9"/>
              </w:numPr>
              <w:ind w:right="162"/>
              <w:rPr>
                <w:rFonts w:ascii="Calibri" w:hAnsi="Calibri" w:cs="Tahoma"/>
                <w:lang w:val="en-IN"/>
              </w:rPr>
            </w:pPr>
            <w:r w:rsidRPr="00794B7D">
              <w:rPr>
                <w:rFonts w:ascii="Calibri" w:hAnsi="Calibri" w:cs="Tahoma"/>
                <w:lang w:val="en-IN"/>
              </w:rPr>
              <w:t>Cables shall be grouped in locked distribution rooms</w:t>
            </w:r>
          </w:p>
          <w:p w14:paraId="50FB6802" w14:textId="77777777" w:rsidR="00C06DED" w:rsidRPr="00C06DED" w:rsidRDefault="00C06DED" w:rsidP="00543B75">
            <w:pPr>
              <w:ind w:right="162"/>
              <w:jc w:val="both"/>
              <w:rPr>
                <w:rFonts w:ascii="Calibri" w:hAnsi="Calibri" w:cs="Tahoma"/>
                <w:b/>
                <w:bCs/>
                <w:lang w:val="en-IN"/>
              </w:rPr>
            </w:pPr>
            <w:r w:rsidRPr="00C06DED">
              <w:rPr>
                <w:rFonts w:ascii="Calibri" w:hAnsi="Calibri" w:cs="Tahoma"/>
                <w:b/>
                <w:bCs/>
                <w:lang w:val="en-IN"/>
              </w:rPr>
              <w:t>1.</w:t>
            </w:r>
            <w:r w:rsidR="00794B7D">
              <w:rPr>
                <w:rFonts w:ascii="Calibri" w:hAnsi="Calibri" w:cs="Tahoma"/>
                <w:b/>
                <w:bCs/>
                <w:lang w:val="en-IN"/>
              </w:rPr>
              <w:t>2</w:t>
            </w:r>
            <w:r w:rsidRPr="00C06DED">
              <w:rPr>
                <w:rFonts w:ascii="Calibri" w:hAnsi="Calibri" w:cs="Tahoma"/>
                <w:b/>
                <w:bCs/>
                <w:lang w:val="en-IN"/>
              </w:rPr>
              <w:t>.</w:t>
            </w:r>
            <w:r w:rsidR="00794B7D">
              <w:rPr>
                <w:rFonts w:ascii="Calibri" w:hAnsi="Calibri" w:cs="Tahoma"/>
                <w:b/>
                <w:bCs/>
                <w:lang w:val="en-IN"/>
              </w:rPr>
              <w:t>4</w:t>
            </w:r>
            <w:r w:rsidRPr="00C06DED">
              <w:rPr>
                <w:rFonts w:ascii="Calibri" w:hAnsi="Calibri" w:cs="Tahoma"/>
                <w:b/>
                <w:bCs/>
                <w:lang w:val="en-IN"/>
              </w:rPr>
              <w:t xml:space="preserve"> </w:t>
            </w:r>
            <w:r w:rsidR="00543B75">
              <w:rPr>
                <w:rFonts w:ascii="Calibri" w:hAnsi="Calibri" w:cs="Tahoma"/>
                <w:b/>
                <w:bCs/>
                <w:lang w:val="en-IN"/>
              </w:rPr>
              <w:t>Equipment maintenance</w:t>
            </w:r>
          </w:p>
          <w:p w14:paraId="57D1EF2A" w14:textId="77777777" w:rsidR="00543B75" w:rsidRPr="00543B75" w:rsidRDefault="00D35211" w:rsidP="00543B75">
            <w:pPr>
              <w:pStyle w:val="ListParagraph"/>
              <w:numPr>
                <w:ilvl w:val="0"/>
                <w:numId w:val="9"/>
              </w:numPr>
              <w:ind w:right="162"/>
              <w:rPr>
                <w:rFonts w:ascii="Calibri" w:hAnsi="Calibri" w:cs="Tahoma"/>
                <w:lang w:val="en-IN"/>
              </w:rPr>
            </w:pPr>
            <w:r>
              <w:rPr>
                <w:rFonts w:ascii="Calibri" w:hAnsi="Calibri" w:cs="Tahoma"/>
                <w:lang w:val="en-IN"/>
              </w:rPr>
              <w:t xml:space="preserve">All IT Data </w:t>
            </w:r>
            <w:proofErr w:type="spellStart"/>
            <w:r>
              <w:rPr>
                <w:rFonts w:ascii="Calibri" w:hAnsi="Calibri" w:cs="Tahoma"/>
                <w:lang w:val="en-IN"/>
              </w:rPr>
              <w:t>center</w:t>
            </w:r>
            <w:proofErr w:type="spellEnd"/>
            <w:r w:rsidR="00543B75" w:rsidRPr="00543B75">
              <w:rPr>
                <w:rFonts w:ascii="Calibri" w:hAnsi="Calibri" w:cs="Tahoma"/>
                <w:lang w:val="en-IN"/>
              </w:rPr>
              <w:t xml:space="preserve"> assets should have a Preventive maintenance plan</w:t>
            </w:r>
          </w:p>
          <w:p w14:paraId="2BD10151" w14:textId="77777777" w:rsidR="00543B75" w:rsidRPr="00543B75" w:rsidRDefault="00543B75" w:rsidP="00C50451">
            <w:pPr>
              <w:pStyle w:val="ListParagraph"/>
              <w:numPr>
                <w:ilvl w:val="0"/>
                <w:numId w:val="9"/>
              </w:numPr>
              <w:ind w:right="162"/>
              <w:rPr>
                <w:rFonts w:ascii="Calibri" w:hAnsi="Calibri" w:cs="Tahoma"/>
                <w:lang w:val="en-IN"/>
              </w:rPr>
            </w:pPr>
            <w:r w:rsidRPr="00543B75">
              <w:rPr>
                <w:rFonts w:ascii="Calibri" w:hAnsi="Calibri" w:cs="Tahoma"/>
                <w:lang w:val="en-IN"/>
              </w:rPr>
              <w:t xml:space="preserve">A maintenance report to be reported every </w:t>
            </w:r>
            <w:r w:rsidRPr="00D35211">
              <w:rPr>
                <w:rFonts w:ascii="Calibri" w:hAnsi="Calibri" w:cs="Tahoma"/>
                <w:color w:val="FF0000"/>
                <w:highlight w:val="yellow"/>
                <w:lang w:val="en-IN"/>
              </w:rPr>
              <w:t>3 months</w:t>
            </w:r>
            <w:r w:rsidRPr="00543B75">
              <w:rPr>
                <w:rFonts w:ascii="Calibri" w:hAnsi="Calibri" w:cs="Tahoma"/>
                <w:lang w:val="en-IN"/>
              </w:rPr>
              <w:t xml:space="preserve"> to NATIONAL IT MANAGER</w:t>
            </w:r>
            <w:r w:rsidR="00B15EE2">
              <w:rPr>
                <w:rFonts w:ascii="Calibri" w:hAnsi="Calibri" w:cs="Tahoma"/>
                <w:lang w:val="en-IN"/>
              </w:rPr>
              <w:t xml:space="preserve"> and statistical data to be maintained and forwarded to QRM to be in the company database.</w:t>
            </w:r>
          </w:p>
          <w:p w14:paraId="0C2C38DA"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Critical IT assets shall have SLA signed with vendors</w:t>
            </w:r>
          </w:p>
          <w:p w14:paraId="178DAE0F"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Trained cleaning resources shall be used to have deep cleaning of DC and escorted by IT employee.</w:t>
            </w:r>
          </w:p>
          <w:p w14:paraId="315B2508"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All maintenance operations to be logged and documented</w:t>
            </w:r>
          </w:p>
          <w:p w14:paraId="10A8647F"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Prior maintenance notification shall be sent to user with downtime expected</w:t>
            </w:r>
          </w:p>
          <w:p w14:paraId="272425A5"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IT assets shall be inspected after maintenance and before starting the operation</w:t>
            </w:r>
          </w:p>
          <w:p w14:paraId="30C4E5B0" w14:textId="77777777" w:rsidR="006D1B43" w:rsidRPr="006D1B43" w:rsidRDefault="00C4546D" w:rsidP="00543B75">
            <w:pPr>
              <w:ind w:right="162"/>
              <w:jc w:val="both"/>
              <w:rPr>
                <w:rFonts w:ascii="Calibri" w:hAnsi="Calibri" w:cs="Tahoma"/>
                <w:b/>
                <w:bCs/>
                <w:lang w:val="en-IN"/>
              </w:rPr>
            </w:pPr>
            <w:r>
              <w:rPr>
                <w:rFonts w:ascii="Calibri" w:hAnsi="Calibri" w:cs="Tahoma"/>
                <w:b/>
                <w:bCs/>
                <w:lang w:val="en-IN"/>
              </w:rPr>
              <w:t>1.</w:t>
            </w:r>
            <w:r w:rsidR="00543B75">
              <w:rPr>
                <w:rFonts w:ascii="Calibri" w:hAnsi="Calibri" w:cs="Tahoma"/>
                <w:b/>
                <w:bCs/>
                <w:lang w:val="en-IN"/>
              </w:rPr>
              <w:t>2</w:t>
            </w:r>
            <w:r w:rsidR="00C06DED">
              <w:rPr>
                <w:rFonts w:ascii="Calibri" w:hAnsi="Calibri" w:cs="Tahoma"/>
                <w:b/>
                <w:bCs/>
                <w:lang w:val="en-IN"/>
              </w:rPr>
              <w:t>.</w:t>
            </w:r>
            <w:r w:rsidR="00543B75">
              <w:rPr>
                <w:rFonts w:ascii="Calibri" w:hAnsi="Calibri" w:cs="Tahoma"/>
                <w:b/>
                <w:bCs/>
                <w:lang w:val="en-IN"/>
              </w:rPr>
              <w:t>5</w:t>
            </w:r>
            <w:r>
              <w:rPr>
                <w:rFonts w:ascii="Calibri" w:hAnsi="Calibri" w:cs="Tahoma"/>
                <w:b/>
                <w:bCs/>
                <w:lang w:val="en-IN"/>
              </w:rPr>
              <w:t xml:space="preserve"> </w:t>
            </w:r>
            <w:r w:rsidR="00543B75">
              <w:rPr>
                <w:rFonts w:ascii="Calibri" w:hAnsi="Calibri" w:cs="Tahoma"/>
                <w:b/>
                <w:bCs/>
                <w:lang w:val="en-IN"/>
              </w:rPr>
              <w:t>Removal of assets</w:t>
            </w:r>
          </w:p>
          <w:p w14:paraId="0CAC5400"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All employees authorized and trained to remove assets from site shall be identified</w:t>
            </w:r>
          </w:p>
          <w:p w14:paraId="4A1F4D48"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External parties shall not remove IT assets from site without assessment to impact by IT department and should be escorted by IT employee.</w:t>
            </w:r>
          </w:p>
          <w:p w14:paraId="2DE48F5C"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Technical report shall be reported to IT head for all DC assets and core IT assets</w:t>
            </w:r>
          </w:p>
          <w:p w14:paraId="345C8BD9"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Fixed assets records shall be updated with the movement by IT function manager</w:t>
            </w:r>
          </w:p>
          <w:p w14:paraId="5D6DCBFD"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All assets removal shall be planned and impact of removal to be assessed</w:t>
            </w:r>
          </w:p>
          <w:p w14:paraId="58377FAD"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IT critical service assets shall not be removed without having redundancy in place</w:t>
            </w:r>
          </w:p>
          <w:p w14:paraId="6429F6B9"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All removed assets shall be checked and inspected at check points and approved for removal out of SMSA site.</w:t>
            </w:r>
          </w:p>
          <w:p w14:paraId="38EB001B" w14:textId="77777777" w:rsidR="00E30CA8" w:rsidRPr="00E30CA8" w:rsidRDefault="00543B75" w:rsidP="00543B75">
            <w:pPr>
              <w:spacing w:line="276" w:lineRule="auto"/>
              <w:jc w:val="both"/>
              <w:rPr>
                <w:rFonts w:asciiTheme="majorBidi" w:hAnsiTheme="majorBidi" w:cstheme="majorBidi"/>
                <w:b/>
                <w:bCs/>
              </w:rPr>
            </w:pPr>
            <w:r>
              <w:rPr>
                <w:b/>
                <w:bCs/>
              </w:rPr>
              <w:t>1.2.6</w:t>
            </w:r>
            <w:r w:rsidR="00E30CA8">
              <w:rPr>
                <w:b/>
                <w:bCs/>
              </w:rPr>
              <w:t xml:space="preserve"> </w:t>
            </w:r>
            <w:r>
              <w:rPr>
                <w:b/>
                <w:bCs/>
              </w:rPr>
              <w:t>Security of equipment and assets off-premises</w:t>
            </w:r>
          </w:p>
          <w:p w14:paraId="2A6FF10A" w14:textId="77777777" w:rsidR="00543B75" w:rsidRPr="00543B75" w:rsidRDefault="00543B75" w:rsidP="00543B75">
            <w:pPr>
              <w:pStyle w:val="ListParagraph"/>
              <w:numPr>
                <w:ilvl w:val="0"/>
                <w:numId w:val="9"/>
              </w:numPr>
              <w:ind w:right="162"/>
              <w:rPr>
                <w:rFonts w:ascii="Calibri" w:hAnsi="Calibri" w:cs="Tahoma"/>
                <w:lang w:val="en-IN"/>
              </w:rPr>
            </w:pPr>
            <w:bookmarkStart w:id="0" w:name="_Toc521829169"/>
            <w:r w:rsidRPr="00543B75">
              <w:rPr>
                <w:rFonts w:ascii="Calibri" w:hAnsi="Calibri" w:cs="Tahoma"/>
                <w:lang w:val="en-IN"/>
              </w:rPr>
              <w:t>IT assets shall not be kept in public places</w:t>
            </w:r>
          </w:p>
          <w:p w14:paraId="237ECF52"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All IT assets to work as per the manufacturer instructions</w:t>
            </w:r>
          </w:p>
          <w:p w14:paraId="52E44997"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 xml:space="preserve">Whenever possible guidelines to use the equipment shall be printed beside the IT </w:t>
            </w:r>
            <w:r w:rsidRPr="00543B75">
              <w:rPr>
                <w:rFonts w:ascii="Calibri" w:hAnsi="Calibri" w:cs="Tahoma"/>
                <w:lang w:val="en-IN"/>
              </w:rPr>
              <w:lastRenderedPageBreak/>
              <w:t>asset.</w:t>
            </w:r>
          </w:p>
          <w:p w14:paraId="1AE806AA"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IT assets shall be protected while transfer</w:t>
            </w:r>
          </w:p>
          <w:p w14:paraId="5254754F"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IT assets ownership to be defined clearly</w:t>
            </w:r>
          </w:p>
          <w:p w14:paraId="0D253177" w14:textId="77777777" w:rsidR="00543B75" w:rsidRPr="00543B75" w:rsidRDefault="00543B75" w:rsidP="00543B75">
            <w:pPr>
              <w:pStyle w:val="ListParagraph"/>
              <w:numPr>
                <w:ilvl w:val="0"/>
                <w:numId w:val="9"/>
              </w:numPr>
              <w:ind w:right="162"/>
              <w:rPr>
                <w:rFonts w:ascii="Calibri" w:hAnsi="Calibri" w:cs="Tahoma"/>
                <w:lang w:val="en-IN"/>
              </w:rPr>
            </w:pPr>
            <w:r w:rsidRPr="00543B75">
              <w:rPr>
                <w:rFonts w:ascii="Calibri" w:hAnsi="Calibri" w:cs="Tahoma"/>
                <w:lang w:val="en-IN"/>
              </w:rPr>
              <w:t>IT asse</w:t>
            </w:r>
            <w:r w:rsidR="00B15EE2">
              <w:rPr>
                <w:rFonts w:ascii="Calibri" w:hAnsi="Calibri" w:cs="Tahoma"/>
                <w:lang w:val="en-IN"/>
              </w:rPr>
              <w:t xml:space="preserve">ts risk shall be identified, </w:t>
            </w:r>
            <w:r w:rsidRPr="00543B75">
              <w:rPr>
                <w:rFonts w:ascii="Calibri" w:hAnsi="Calibri" w:cs="Tahoma"/>
                <w:lang w:val="en-IN"/>
              </w:rPr>
              <w:t>mitigated</w:t>
            </w:r>
            <w:r w:rsidR="00B15EE2">
              <w:rPr>
                <w:rFonts w:ascii="Calibri" w:hAnsi="Calibri" w:cs="Tahoma"/>
                <w:lang w:val="en-IN"/>
              </w:rPr>
              <w:t xml:space="preserve"> and documented in the risk document.</w:t>
            </w:r>
          </w:p>
          <w:p w14:paraId="66E76CEF" w14:textId="77777777" w:rsidR="00543B75" w:rsidRPr="00E30CA8" w:rsidRDefault="00543B75" w:rsidP="00543B75">
            <w:pPr>
              <w:spacing w:line="276" w:lineRule="auto"/>
              <w:jc w:val="both"/>
              <w:rPr>
                <w:rFonts w:asciiTheme="majorBidi" w:hAnsiTheme="majorBidi" w:cstheme="majorBidi"/>
                <w:b/>
                <w:bCs/>
              </w:rPr>
            </w:pPr>
            <w:r>
              <w:rPr>
                <w:b/>
                <w:bCs/>
              </w:rPr>
              <w:t>1.2.7 Secure disposal or reuse of equipment</w:t>
            </w:r>
          </w:p>
          <w:p w14:paraId="574AEA55"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All servers’ hard desks to be damaged if server is disposed</w:t>
            </w:r>
          </w:p>
          <w:p w14:paraId="700CB317"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All data on portable devices shall be securely erased from device to be reused</w:t>
            </w:r>
          </w:p>
          <w:p w14:paraId="323F6EFE" w14:textId="77777777" w:rsidR="00543B75"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All passwords and accounts to be removed from servers, workstations and portable devices before disposal.</w:t>
            </w:r>
          </w:p>
          <w:p w14:paraId="4691E701" w14:textId="77777777" w:rsidR="00C50451" w:rsidRPr="00E30CA8" w:rsidRDefault="00C50451" w:rsidP="00C50451">
            <w:pPr>
              <w:spacing w:line="276" w:lineRule="auto"/>
              <w:jc w:val="both"/>
              <w:rPr>
                <w:rFonts w:asciiTheme="majorBidi" w:hAnsiTheme="majorBidi" w:cstheme="majorBidi"/>
                <w:b/>
                <w:bCs/>
              </w:rPr>
            </w:pPr>
            <w:r>
              <w:rPr>
                <w:b/>
                <w:bCs/>
              </w:rPr>
              <w:t>1.2.8 Unattended user equipment</w:t>
            </w:r>
          </w:p>
          <w:p w14:paraId="6657FE4F"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Log off automatically if not attended</w:t>
            </w:r>
          </w:p>
          <w:p w14:paraId="58C3FA95"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 xml:space="preserve">Terminate sessions after </w:t>
            </w:r>
            <w:r w:rsidRPr="00D35211">
              <w:rPr>
                <w:rFonts w:ascii="Calibri" w:hAnsi="Calibri" w:cs="Tahoma"/>
                <w:color w:val="FF0000"/>
                <w:highlight w:val="yellow"/>
                <w:lang w:val="en-IN"/>
              </w:rPr>
              <w:t>15 minutes if not active</w:t>
            </w:r>
            <w:r w:rsidRPr="00C50451">
              <w:rPr>
                <w:rFonts w:ascii="Calibri" w:hAnsi="Calibri" w:cs="Tahoma"/>
                <w:lang w:val="en-IN"/>
              </w:rPr>
              <w:t xml:space="preserve"> on workstations and servers</w:t>
            </w:r>
          </w:p>
          <w:p w14:paraId="717116D2"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All unattended device to be protected with password</w:t>
            </w:r>
          </w:p>
          <w:p w14:paraId="1A855753"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CCTV shall be used to monitor untended IT assets</w:t>
            </w:r>
            <w:r w:rsidR="00B15EE2">
              <w:rPr>
                <w:rFonts w:ascii="Calibri" w:hAnsi="Calibri" w:cs="Tahoma"/>
                <w:lang w:val="en-IN"/>
              </w:rPr>
              <w:t xml:space="preserve"> where applicable.</w:t>
            </w:r>
          </w:p>
          <w:p w14:paraId="0873C753" w14:textId="77777777" w:rsid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SMSA DC to be equipped with motion detector</w:t>
            </w:r>
          </w:p>
          <w:p w14:paraId="5CB26928" w14:textId="77777777" w:rsidR="00C50451" w:rsidRPr="00E30CA8" w:rsidRDefault="00C50451" w:rsidP="00C50451">
            <w:pPr>
              <w:spacing w:line="276" w:lineRule="auto"/>
              <w:jc w:val="both"/>
              <w:rPr>
                <w:rFonts w:asciiTheme="majorBidi" w:hAnsiTheme="majorBidi" w:cstheme="majorBidi"/>
                <w:b/>
                <w:bCs/>
              </w:rPr>
            </w:pPr>
            <w:r>
              <w:rPr>
                <w:b/>
                <w:bCs/>
              </w:rPr>
              <w:t>1.2.9 Clear desk and clear screen policy</w:t>
            </w:r>
          </w:p>
          <w:p w14:paraId="4379119A"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Sensitive or critical business information, e.g. on paper or on electronic storage media, should be locked away (ideally in a safe or cabinet or other forms of security furniture) when not required, especially when the office is vacated.</w:t>
            </w:r>
          </w:p>
          <w:p w14:paraId="16A51445"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Computers should be left logged off or protected with a screen and keyboard locking mechanism controlled by a password, token or similar user authentication mechanism when unattended and should be protected by key locks, passwords or other controls when not in use.</w:t>
            </w:r>
          </w:p>
          <w:p w14:paraId="56074DF1"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Unauthorized use of photocopiers and other reproduction technology (e.g. scanners, digital cameras) should be prevented.</w:t>
            </w:r>
          </w:p>
          <w:p w14:paraId="7145FD33" w14:textId="77777777" w:rsidR="00C50451" w:rsidRPr="00C50451" w:rsidRDefault="00C50451" w:rsidP="00C50451">
            <w:pPr>
              <w:pStyle w:val="ListParagraph"/>
              <w:numPr>
                <w:ilvl w:val="0"/>
                <w:numId w:val="9"/>
              </w:numPr>
              <w:ind w:right="162"/>
              <w:rPr>
                <w:rFonts w:ascii="Calibri" w:hAnsi="Calibri" w:cs="Tahoma"/>
                <w:lang w:val="en-IN"/>
              </w:rPr>
            </w:pPr>
            <w:r w:rsidRPr="00C50451">
              <w:rPr>
                <w:rFonts w:ascii="Calibri" w:hAnsi="Calibri" w:cs="Tahoma"/>
                <w:lang w:val="en-IN"/>
              </w:rPr>
              <w:t>Media containing sensitive or classified information should be removed from printers immediately.</w:t>
            </w:r>
          </w:p>
          <w:p w14:paraId="250F87E3" w14:textId="77777777" w:rsidR="00A4449F" w:rsidRPr="00363CE0" w:rsidRDefault="00363CE0" w:rsidP="00363CE0">
            <w:pPr>
              <w:ind w:right="162"/>
              <w:jc w:val="both"/>
              <w:rPr>
                <w:rFonts w:ascii="Calibri" w:hAnsi="Calibri" w:cs="Tahoma"/>
                <w:b/>
                <w:bCs/>
                <w:u w:val="single"/>
                <w:lang w:val="en-IN"/>
              </w:rPr>
            </w:pPr>
            <w:r>
              <w:rPr>
                <w:rFonts w:ascii="Calibri" w:hAnsi="Calibri" w:cs="Tahoma"/>
                <w:b/>
                <w:bCs/>
                <w:u w:val="single"/>
                <w:lang w:val="en-IN"/>
              </w:rPr>
              <w:t xml:space="preserve">2. </w:t>
            </w:r>
            <w:r w:rsidR="00C50451">
              <w:rPr>
                <w:rFonts w:ascii="Calibri" w:hAnsi="Calibri" w:cs="Tahoma"/>
                <w:b/>
                <w:bCs/>
                <w:u w:val="single"/>
                <w:lang w:val="en-IN"/>
              </w:rPr>
              <w:t>Revie</w:t>
            </w:r>
            <w:r w:rsidR="00A4449F" w:rsidRPr="00363CE0">
              <w:rPr>
                <w:rFonts w:ascii="Calibri" w:hAnsi="Calibri" w:cs="Tahoma"/>
                <w:b/>
                <w:bCs/>
                <w:u w:val="single"/>
                <w:lang w:val="en-IN"/>
              </w:rPr>
              <w:t>w Period</w:t>
            </w:r>
            <w:bookmarkEnd w:id="0"/>
          </w:p>
          <w:p w14:paraId="5FDCDAC4"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36C18019" w14:textId="77777777" w:rsidR="00A4449F" w:rsidRPr="00363CE0" w:rsidRDefault="00363CE0"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3. </w:t>
            </w:r>
            <w:r w:rsidR="00A4449F" w:rsidRPr="00363CE0">
              <w:rPr>
                <w:rFonts w:ascii="Calibri" w:hAnsi="Calibri" w:cs="Tahoma"/>
                <w:b/>
                <w:bCs/>
                <w:u w:val="single"/>
                <w:lang w:val="en-IN"/>
              </w:rPr>
              <w:t>Enforcement</w:t>
            </w:r>
            <w:bookmarkEnd w:id="1"/>
            <w:bookmarkEnd w:id="2"/>
          </w:p>
          <w:p w14:paraId="385C1254"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3F37F2CA"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6069F3CA"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5BBA865D"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DC192E7"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262D57B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348B29B4" w14:textId="77777777" w:rsidR="00A4449F" w:rsidRPr="00363CE0" w:rsidRDefault="00363CE0" w:rsidP="00363CE0">
            <w:pPr>
              <w:spacing w:line="276" w:lineRule="auto"/>
              <w:jc w:val="both"/>
              <w:rPr>
                <w:b/>
                <w:bCs/>
              </w:rPr>
            </w:pPr>
            <w:r>
              <w:rPr>
                <w:b/>
                <w:bCs/>
              </w:rPr>
              <w:t xml:space="preserve">3.1 </w:t>
            </w:r>
            <w:r w:rsidR="00A4449F" w:rsidRPr="00363CE0">
              <w:rPr>
                <w:b/>
                <w:bCs/>
              </w:rPr>
              <w:t>Policy Violation</w:t>
            </w:r>
          </w:p>
          <w:p w14:paraId="59CB9B88"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731A92A2"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5D785613"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lastRenderedPageBreak/>
              <w:t>Removal of access privileges to information assets.</w:t>
            </w:r>
          </w:p>
          <w:p w14:paraId="6C8AEF3E"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2908FD49"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58E99264" w14:textId="77777777" w:rsidR="00A4449F" w:rsidRPr="00363CE0" w:rsidRDefault="00363CE0" w:rsidP="00363CE0">
            <w:pPr>
              <w:spacing w:line="276" w:lineRule="auto"/>
              <w:jc w:val="both"/>
              <w:rPr>
                <w:b/>
                <w:bCs/>
              </w:rPr>
            </w:pPr>
            <w:r>
              <w:rPr>
                <w:b/>
                <w:bCs/>
              </w:rPr>
              <w:t xml:space="preserve">3.2 </w:t>
            </w:r>
            <w:r w:rsidR="00A4449F" w:rsidRPr="00363CE0">
              <w:rPr>
                <w:b/>
                <w:bCs/>
              </w:rPr>
              <w:t>Policy Waiver</w:t>
            </w:r>
          </w:p>
          <w:p w14:paraId="13A1DB00"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2087C32F" w14:textId="77777777" w:rsidR="003050B7" w:rsidRPr="002928E9" w:rsidRDefault="003050B7" w:rsidP="001241FF"/>
    <w:p w14:paraId="13579674"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9A98" w14:textId="77777777" w:rsidR="00934F6F" w:rsidRDefault="00934F6F" w:rsidP="003050B7">
      <w:pPr>
        <w:spacing w:after="0"/>
      </w:pPr>
      <w:r>
        <w:separator/>
      </w:r>
    </w:p>
  </w:endnote>
  <w:endnote w:type="continuationSeparator" w:id="0">
    <w:p w14:paraId="08EE8BC8" w14:textId="77777777" w:rsidR="00934F6F" w:rsidRDefault="00934F6F"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223C" w14:textId="278C353C" w:rsidR="00000000"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7425AA"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7425AA" w:rsidRPr="00B93592">
      <w:rPr>
        <w:rFonts w:asciiTheme="minorHAnsi" w:hAnsiTheme="minorHAnsi" w:cstheme="minorHAnsi"/>
        <w:b/>
        <w:sz w:val="20"/>
        <w:szCs w:val="20"/>
      </w:rPr>
      <w:fldChar w:fldCharType="separate"/>
    </w:r>
    <w:r w:rsidR="00D35211">
      <w:rPr>
        <w:rFonts w:asciiTheme="minorHAnsi" w:hAnsiTheme="minorHAnsi" w:cstheme="minorHAnsi"/>
        <w:b/>
        <w:noProof/>
        <w:sz w:val="20"/>
        <w:szCs w:val="20"/>
      </w:rPr>
      <w:t>6</w:t>
    </w:r>
    <w:r w:rsidR="007425AA"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7425AA"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7425AA" w:rsidRPr="00B93592">
      <w:rPr>
        <w:rFonts w:asciiTheme="minorHAnsi" w:hAnsiTheme="minorHAnsi" w:cstheme="minorHAnsi"/>
        <w:b/>
        <w:sz w:val="20"/>
        <w:szCs w:val="20"/>
      </w:rPr>
      <w:fldChar w:fldCharType="separate"/>
    </w:r>
    <w:r w:rsidR="00D35211">
      <w:rPr>
        <w:rFonts w:asciiTheme="minorHAnsi" w:hAnsiTheme="minorHAnsi" w:cstheme="minorHAnsi"/>
        <w:b/>
        <w:noProof/>
        <w:sz w:val="20"/>
        <w:szCs w:val="20"/>
      </w:rPr>
      <w:t>6</w:t>
    </w:r>
    <w:r w:rsidR="007425AA"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5D0C3E39" w14:textId="48E30694" w:rsidR="00B93592" w:rsidRPr="00B93592" w:rsidRDefault="007038E5" w:rsidP="009F2C79">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B291" w14:textId="77777777" w:rsidR="00934F6F" w:rsidRDefault="00934F6F" w:rsidP="003050B7">
      <w:pPr>
        <w:spacing w:after="0"/>
      </w:pPr>
      <w:r>
        <w:separator/>
      </w:r>
    </w:p>
  </w:footnote>
  <w:footnote w:type="continuationSeparator" w:id="0">
    <w:p w14:paraId="3044C45B" w14:textId="77777777" w:rsidR="00934F6F" w:rsidRDefault="00934F6F"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413C7290" w14:textId="77777777" w:rsidTr="00980C86">
      <w:tc>
        <w:tcPr>
          <w:tcW w:w="4230" w:type="dxa"/>
        </w:tcPr>
        <w:p w14:paraId="5EF0F4F2" w14:textId="77777777" w:rsidR="00000000" w:rsidRPr="003069FB" w:rsidRDefault="00B93592" w:rsidP="003050B7">
          <w:pPr>
            <w:pStyle w:val="Header"/>
            <w:rPr>
              <w:b/>
              <w:noProof/>
              <w:sz w:val="28"/>
              <w:szCs w:val="28"/>
            </w:rPr>
          </w:pPr>
          <w:r>
            <w:rPr>
              <w:b/>
              <w:noProof/>
              <w:sz w:val="28"/>
              <w:szCs w:val="28"/>
            </w:rPr>
            <w:drawing>
              <wp:inline distT="0" distB="0" distL="0" distR="0" wp14:anchorId="659F2DD9" wp14:editId="26AEBFC4">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5CF1BEE8" w14:textId="77777777" w:rsidR="00000000" w:rsidRDefault="006224F3" w:rsidP="00D10214">
          <w:pPr>
            <w:pStyle w:val="Header"/>
            <w:jc w:val="right"/>
            <w:rPr>
              <w:rFonts w:ascii="Calibri" w:hAnsi="Calibri"/>
              <w:b/>
              <w:noProof/>
              <w:sz w:val="32"/>
            </w:rPr>
          </w:pPr>
          <w:r>
            <w:rPr>
              <w:rFonts w:ascii="Calibri" w:hAnsi="Calibri"/>
              <w:b/>
              <w:noProof/>
              <w:sz w:val="32"/>
            </w:rPr>
            <w:t>Physical &amp; Environmental Security</w:t>
          </w:r>
          <w:r w:rsidR="00AD2D1D" w:rsidRPr="008A0662">
            <w:rPr>
              <w:rFonts w:ascii="Calibri" w:hAnsi="Calibri"/>
              <w:b/>
              <w:noProof/>
              <w:sz w:val="32"/>
            </w:rPr>
            <w:t xml:space="preserve"> Policy</w:t>
          </w:r>
        </w:p>
        <w:p w14:paraId="41359FB3"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4703E4AA"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37"/>
    <w:multiLevelType w:val="multilevel"/>
    <w:tmpl w:val="98B83A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D350D4C"/>
    <w:multiLevelType w:val="hybridMultilevel"/>
    <w:tmpl w:val="8B2A5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15:restartNumberingAfterBreak="0">
    <w:nsid w:val="307E0B9B"/>
    <w:multiLevelType w:val="hybridMultilevel"/>
    <w:tmpl w:val="2E8037C8"/>
    <w:lvl w:ilvl="0" w:tplc="99CEF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9515714">
    <w:abstractNumId w:val="13"/>
  </w:num>
  <w:num w:numId="2" w16cid:durableId="1650859955">
    <w:abstractNumId w:val="4"/>
  </w:num>
  <w:num w:numId="3" w16cid:durableId="306974376">
    <w:abstractNumId w:val="15"/>
  </w:num>
  <w:num w:numId="4" w16cid:durableId="1305547202">
    <w:abstractNumId w:val="21"/>
  </w:num>
  <w:num w:numId="5" w16cid:durableId="684330500">
    <w:abstractNumId w:val="6"/>
  </w:num>
  <w:num w:numId="6" w16cid:durableId="1998070581">
    <w:abstractNumId w:val="25"/>
  </w:num>
  <w:num w:numId="7" w16cid:durableId="701440945">
    <w:abstractNumId w:val="7"/>
  </w:num>
  <w:num w:numId="8" w16cid:durableId="1658458076">
    <w:abstractNumId w:val="17"/>
  </w:num>
  <w:num w:numId="9" w16cid:durableId="81419780">
    <w:abstractNumId w:val="8"/>
  </w:num>
  <w:num w:numId="10" w16cid:durableId="987055529">
    <w:abstractNumId w:val="5"/>
  </w:num>
  <w:num w:numId="11" w16cid:durableId="265888964">
    <w:abstractNumId w:val="14"/>
  </w:num>
  <w:num w:numId="12" w16cid:durableId="479688254">
    <w:abstractNumId w:val="3"/>
  </w:num>
  <w:num w:numId="13" w16cid:durableId="1584871746">
    <w:abstractNumId w:val="16"/>
  </w:num>
  <w:num w:numId="14" w16cid:durableId="595870264">
    <w:abstractNumId w:val="2"/>
  </w:num>
  <w:num w:numId="15" w16cid:durableId="1357346057">
    <w:abstractNumId w:val="19"/>
  </w:num>
  <w:num w:numId="16" w16cid:durableId="963577926">
    <w:abstractNumId w:val="20"/>
  </w:num>
  <w:num w:numId="17" w16cid:durableId="694962741">
    <w:abstractNumId w:val="18"/>
  </w:num>
  <w:num w:numId="18" w16cid:durableId="1395011035">
    <w:abstractNumId w:val="24"/>
  </w:num>
  <w:num w:numId="19" w16cid:durableId="1381632853">
    <w:abstractNumId w:val="23"/>
  </w:num>
  <w:num w:numId="20" w16cid:durableId="1701278354">
    <w:abstractNumId w:val="1"/>
  </w:num>
  <w:num w:numId="21" w16cid:durableId="339625631">
    <w:abstractNumId w:val="9"/>
  </w:num>
  <w:num w:numId="22" w16cid:durableId="233783694">
    <w:abstractNumId w:val="22"/>
  </w:num>
  <w:num w:numId="23" w16cid:durableId="964233504">
    <w:abstractNumId w:val="11"/>
  </w:num>
  <w:num w:numId="24" w16cid:durableId="1482887406">
    <w:abstractNumId w:val="0"/>
  </w:num>
  <w:num w:numId="25" w16cid:durableId="414282068">
    <w:abstractNumId w:val="10"/>
  </w:num>
  <w:num w:numId="26" w16cid:durableId="165486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011"/>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46E5"/>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3CAF"/>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3B75"/>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24F3"/>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47CC"/>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5AA"/>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94B7D"/>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219"/>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4F6F"/>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2C79"/>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5EE2"/>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2447"/>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6EB8"/>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0451"/>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4DDF"/>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5211"/>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40A6"/>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340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1D39"/>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56B1D"/>
  <w15:docId w15:val="{0B6D8652-0920-4420-9A7E-645B1BAC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EEA6D-32B3-42F7-B6AE-0A3C6AD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13</cp:revision>
  <dcterms:created xsi:type="dcterms:W3CDTF">2021-11-04T08:41:00Z</dcterms:created>
  <dcterms:modified xsi:type="dcterms:W3CDTF">2025-09-08T09:16:00Z</dcterms:modified>
</cp:coreProperties>
</file>