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43"/>
        <w:gridCol w:w="8482"/>
      </w:tblGrid>
      <w:tr w:rsidR="00D70E93" w:rsidRPr="0090340F" w14:paraId="6C4A3A4F" w14:textId="77777777">
        <w:trPr>
          <w:jc w:val="center"/>
        </w:trPr>
        <w:tc>
          <w:tcPr>
            <w:tcW w:w="1843" w:type="dxa"/>
            <w:tcMar>
              <w:top w:w="80" w:type="dxa"/>
              <w:left w:w="100" w:type="dxa"/>
              <w:bottom w:w="80" w:type="dxa"/>
              <w:right w:w="100" w:type="dxa"/>
            </w:tcMar>
          </w:tcPr>
          <w:p w14:paraId="30F1D413" w14:textId="77777777" w:rsidR="00D70E93" w:rsidRPr="0090340F" w:rsidRDefault="00000000">
            <w:pPr>
              <w:spacing w:after="0"/>
              <w:rPr>
                <w:rFonts w:asciiTheme="majorHAnsi" w:hAnsiTheme="majorHAnsi" w:cstheme="majorHAnsi"/>
                <w:sz w:val="22"/>
              </w:rPr>
            </w:pPr>
            <w:r w:rsidRPr="0090340F">
              <w:rPr>
                <w:rFonts w:asciiTheme="majorHAnsi" w:hAnsiTheme="majorHAnsi" w:cstheme="majorHAnsi"/>
                <w:b/>
                <w:sz w:val="22"/>
              </w:rPr>
              <w:t>Purpose</w:t>
            </w:r>
          </w:p>
        </w:tc>
        <w:tc>
          <w:tcPr>
            <w:tcW w:w="8482" w:type="dxa"/>
            <w:tcMar>
              <w:top w:w="80" w:type="dxa"/>
              <w:left w:w="100" w:type="dxa"/>
              <w:bottom w:w="80" w:type="dxa"/>
              <w:right w:w="100" w:type="dxa"/>
            </w:tcMar>
          </w:tcPr>
          <w:p w14:paraId="4861AA3A"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sz w:val="22"/>
              </w:rPr>
              <w:t>This policy defines the physical and environmental security controls required to protect SMSA facilities, secure areas, equipment and information assets from unauthorized access, damage, theft, loss, misuse, interruption or environmental threats.</w:t>
            </w:r>
          </w:p>
          <w:p w14:paraId="65CC5E4A"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sz w:val="22"/>
              </w:rPr>
              <w:t>This policy forms part of SMSA's Information Security Management System (ISMS). It is subject to ISMS governance, information security risk assessment, internal audit, management review and continual improvement.</w:t>
            </w:r>
          </w:p>
        </w:tc>
      </w:tr>
      <w:tr w:rsidR="00D70E93" w:rsidRPr="0090340F" w14:paraId="38B1B8ED" w14:textId="77777777">
        <w:trPr>
          <w:jc w:val="center"/>
        </w:trPr>
        <w:tc>
          <w:tcPr>
            <w:tcW w:w="1843" w:type="dxa"/>
            <w:tcMar>
              <w:top w:w="80" w:type="dxa"/>
              <w:left w:w="100" w:type="dxa"/>
              <w:bottom w:w="80" w:type="dxa"/>
              <w:right w:w="100" w:type="dxa"/>
            </w:tcMar>
          </w:tcPr>
          <w:p w14:paraId="76ABEB72" w14:textId="77777777" w:rsidR="00D70E93" w:rsidRPr="0090340F" w:rsidRDefault="00000000">
            <w:pPr>
              <w:spacing w:after="0"/>
              <w:rPr>
                <w:rFonts w:asciiTheme="majorHAnsi" w:hAnsiTheme="majorHAnsi" w:cstheme="majorHAnsi"/>
                <w:sz w:val="22"/>
              </w:rPr>
            </w:pPr>
            <w:r w:rsidRPr="0090340F">
              <w:rPr>
                <w:rFonts w:asciiTheme="majorHAnsi" w:hAnsiTheme="majorHAnsi" w:cstheme="majorHAnsi"/>
                <w:b/>
                <w:sz w:val="22"/>
              </w:rPr>
              <w:t>Reference No.</w:t>
            </w:r>
          </w:p>
        </w:tc>
        <w:tc>
          <w:tcPr>
            <w:tcW w:w="8482" w:type="dxa"/>
            <w:tcMar>
              <w:top w:w="80" w:type="dxa"/>
              <w:left w:w="100" w:type="dxa"/>
              <w:bottom w:w="80" w:type="dxa"/>
              <w:right w:w="100" w:type="dxa"/>
            </w:tcMar>
          </w:tcPr>
          <w:p w14:paraId="1E4E30C5" w14:textId="3D0C1388" w:rsidR="00D70E93" w:rsidRPr="0090340F" w:rsidRDefault="00000000" w:rsidP="0090340F">
            <w:pPr>
              <w:spacing w:after="100"/>
              <w:rPr>
                <w:rFonts w:asciiTheme="majorHAnsi" w:hAnsiTheme="majorHAnsi" w:cstheme="majorHAnsi"/>
                <w:sz w:val="22"/>
              </w:rPr>
            </w:pPr>
            <w:r w:rsidRPr="0090340F">
              <w:rPr>
                <w:rFonts w:asciiTheme="majorHAnsi" w:hAnsiTheme="majorHAnsi" w:cstheme="majorHAnsi"/>
                <w:sz w:val="22"/>
              </w:rPr>
              <w:t>ISO/IEC 27001:2022 Annex A 7.1 to 7.14 - Physical Controls</w:t>
            </w:r>
          </w:p>
        </w:tc>
      </w:tr>
      <w:tr w:rsidR="00D70E93" w:rsidRPr="0090340F" w14:paraId="4528A415" w14:textId="77777777">
        <w:trPr>
          <w:jc w:val="center"/>
        </w:trPr>
        <w:tc>
          <w:tcPr>
            <w:tcW w:w="1843" w:type="dxa"/>
            <w:tcMar>
              <w:top w:w="80" w:type="dxa"/>
              <w:left w:w="100" w:type="dxa"/>
              <w:bottom w:w="80" w:type="dxa"/>
              <w:right w:w="100" w:type="dxa"/>
            </w:tcMar>
          </w:tcPr>
          <w:p w14:paraId="15104141" w14:textId="77777777" w:rsidR="00D70E93" w:rsidRPr="0090340F" w:rsidRDefault="00000000">
            <w:pPr>
              <w:spacing w:after="0"/>
              <w:rPr>
                <w:rFonts w:asciiTheme="majorHAnsi" w:hAnsiTheme="majorHAnsi" w:cstheme="majorHAnsi"/>
                <w:sz w:val="22"/>
              </w:rPr>
            </w:pPr>
            <w:r w:rsidRPr="0090340F">
              <w:rPr>
                <w:rFonts w:asciiTheme="majorHAnsi" w:hAnsiTheme="majorHAnsi" w:cstheme="majorHAnsi"/>
                <w:b/>
                <w:sz w:val="22"/>
              </w:rPr>
              <w:t>Scope</w:t>
            </w:r>
          </w:p>
        </w:tc>
        <w:tc>
          <w:tcPr>
            <w:tcW w:w="8482" w:type="dxa"/>
            <w:tcMar>
              <w:top w:w="80" w:type="dxa"/>
              <w:left w:w="100" w:type="dxa"/>
              <w:bottom w:w="80" w:type="dxa"/>
              <w:right w:w="100" w:type="dxa"/>
            </w:tcMar>
          </w:tcPr>
          <w:p w14:paraId="2BA41655"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sz w:val="22"/>
              </w:rPr>
              <w:t>This policy is applicable to:</w:t>
            </w:r>
          </w:p>
          <w:p w14:paraId="50F98BC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All SMSA facilities where information is processed, stored, transmitted, monitored or supported, including offices, warehouses, data centres, server rooms, communication rooms, switching rooms, control rooms and other secure areas.</w:t>
            </w:r>
          </w:p>
          <w:p w14:paraId="107517E9"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All IT supported operations, information systems, networks, infrastructure, equipment, storage media and supporting utilities owned, leased, hosted or managed by or on behalf of SMSA.</w:t>
            </w:r>
          </w:p>
          <w:p w14:paraId="7722F05A"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All SMSA employees, contractors, visitors, suppliers and third parties who access SMSA facilities or secure areas.</w:t>
            </w:r>
          </w:p>
          <w:p w14:paraId="126B9B11"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Third-party locations and hosted environments where SMSA information assets are stored, processed or supported, where applicable through contracts, service agreements or supplier reviews.</w:t>
            </w:r>
          </w:p>
        </w:tc>
      </w:tr>
      <w:tr w:rsidR="00D70E93" w:rsidRPr="0090340F" w14:paraId="1A56F32C" w14:textId="77777777">
        <w:trPr>
          <w:jc w:val="center"/>
        </w:trPr>
        <w:tc>
          <w:tcPr>
            <w:tcW w:w="1843" w:type="dxa"/>
            <w:tcMar>
              <w:top w:w="80" w:type="dxa"/>
              <w:left w:w="100" w:type="dxa"/>
              <w:bottom w:w="80" w:type="dxa"/>
              <w:right w:w="100" w:type="dxa"/>
            </w:tcMar>
          </w:tcPr>
          <w:p w14:paraId="432B895A" w14:textId="77777777" w:rsidR="00D70E93" w:rsidRPr="0090340F" w:rsidRDefault="00000000">
            <w:pPr>
              <w:spacing w:after="0"/>
              <w:rPr>
                <w:rFonts w:asciiTheme="majorHAnsi" w:hAnsiTheme="majorHAnsi" w:cstheme="majorHAnsi"/>
                <w:sz w:val="22"/>
              </w:rPr>
            </w:pPr>
            <w:r w:rsidRPr="0090340F">
              <w:rPr>
                <w:rFonts w:asciiTheme="majorHAnsi" w:hAnsiTheme="majorHAnsi" w:cstheme="majorHAnsi"/>
                <w:b/>
                <w:sz w:val="22"/>
              </w:rPr>
              <w:t>Responsibilities</w:t>
            </w:r>
          </w:p>
        </w:tc>
        <w:tc>
          <w:tcPr>
            <w:tcW w:w="8482" w:type="dxa"/>
            <w:tcMar>
              <w:top w:w="80" w:type="dxa"/>
              <w:left w:w="100" w:type="dxa"/>
              <w:bottom w:w="80" w:type="dxa"/>
              <w:right w:w="100" w:type="dxa"/>
            </w:tcMar>
          </w:tcPr>
          <w:p w14:paraId="765116DA" w14:textId="22E4B3B0" w:rsidR="00D70E93" w:rsidRPr="0090340F" w:rsidRDefault="00000000" w:rsidP="0090340F">
            <w:pPr>
              <w:spacing w:after="100"/>
              <w:rPr>
                <w:rFonts w:asciiTheme="majorHAnsi" w:hAnsiTheme="majorHAnsi" w:cstheme="majorHAnsi"/>
                <w:sz w:val="22"/>
              </w:rPr>
            </w:pPr>
            <w:r w:rsidRPr="0090340F">
              <w:rPr>
                <w:rFonts w:asciiTheme="majorHAnsi" w:hAnsiTheme="majorHAnsi" w:cstheme="majorHAnsi"/>
                <w:bCs/>
                <w:sz w:val="22"/>
              </w:rPr>
              <w:t>Chief Technology Officer (CTO) is the highest level for Information Security governance and shall be responsible for evaluation, direction and oversight of Information Security compliance at SMSA.</w:t>
            </w:r>
            <w:r w:rsidR="0090340F" w:rsidRPr="0090340F">
              <w:rPr>
                <w:rFonts w:asciiTheme="majorHAnsi" w:hAnsiTheme="majorHAnsi" w:cstheme="majorHAnsi"/>
                <w:sz w:val="22"/>
              </w:rPr>
              <w:t xml:space="preserve"> </w:t>
            </w:r>
            <w:r w:rsidR="0090340F" w:rsidRPr="0090340F">
              <w:rPr>
                <w:rFonts w:asciiTheme="majorHAnsi" w:hAnsiTheme="majorHAnsi" w:cstheme="majorHAnsi"/>
                <w:sz w:val="22"/>
              </w:rPr>
              <w:t>Supporting procedures and forms shall define the detailed implementation requirements where required.</w:t>
            </w:r>
          </w:p>
          <w:p w14:paraId="1FE691B9"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National IT Manager:</w:t>
            </w:r>
          </w:p>
          <w:p w14:paraId="6B7128AB"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Approve this policy and any following modifications where delegated by the CTO.</w:t>
            </w:r>
          </w:p>
          <w:p w14:paraId="6F320661"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Ensure physical and environmental security requirements for IT areas are implemented, maintained and reviewed.</w:t>
            </w:r>
          </w:p>
          <w:p w14:paraId="6D2BA48E"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Ensure information security risks related to physical and environmental controls are assessed, treated and monitored.</w:t>
            </w:r>
          </w:p>
          <w:p w14:paraId="3E54DC6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Ensure access reviews, maintenance records, monitoring records and other required evidence are maintained.</w:t>
            </w:r>
          </w:p>
          <w:p w14:paraId="5897A51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Report material control weaknesses, major incidents and compliance audit results to the CTO.</w:t>
            </w:r>
          </w:p>
          <w:p w14:paraId="4CA56F79"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IT Department (ITD):</w:t>
            </w:r>
          </w:p>
          <w:p w14:paraId="01B24210"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Define and maintain the physical and environmental security requirements for data centres, server rooms, communication rooms, network racks and other critical IT locations.</w:t>
            </w:r>
          </w:p>
          <w:p w14:paraId="2E9D0FC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Ensure IT equipment is located, protected, maintained, monitored and disposed of securely.</w:t>
            </w:r>
          </w:p>
          <w:p w14:paraId="5A72B5A2"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Approve and review access to IT secure areas based on business need and risk.</w:t>
            </w:r>
          </w:p>
          <w:p w14:paraId="7DAEFA1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 xml:space="preserve">Ensure supplier access to IT secure areas is approved, logged, supervised and supported </w:t>
            </w:r>
            <w:r w:rsidRPr="0090340F">
              <w:rPr>
                <w:rFonts w:asciiTheme="majorHAnsi" w:hAnsiTheme="majorHAnsi" w:cstheme="majorHAnsi"/>
                <w:sz w:val="22"/>
              </w:rPr>
              <w:lastRenderedPageBreak/>
              <w:t>by proper records.</w:t>
            </w:r>
          </w:p>
          <w:p w14:paraId="3CBE2AD0"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Maintain evidence required for audit, investigation and management review.</w:t>
            </w:r>
          </w:p>
          <w:p w14:paraId="667D4633"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Security / Facility Management:</w:t>
            </w:r>
          </w:p>
          <w:p w14:paraId="6EFB0E2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Manage physical access controls, visitor control, access cards, keys, guards, gates, doors, CCTV and physical security monitoring where applicable.</w:t>
            </w:r>
          </w:p>
          <w:p w14:paraId="305B097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Maintain visitor logs, access logs, key/card registers and CCTV records in line with approved retention requirements.</w:t>
            </w:r>
          </w:p>
          <w:p w14:paraId="2F881572"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Coordinate with ITD for access to data centres, server rooms, communication rooms and other critical IT areas.</w:t>
            </w:r>
          </w:p>
          <w:p w14:paraId="12AB74C2"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Ensure facility risks such as fire, water leak, power failure, gate/door failure and unauthorized access are reported and addressed.</w:t>
            </w:r>
          </w:p>
          <w:p w14:paraId="56AAEEBF"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Procurement Department:</w:t>
            </w:r>
          </w:p>
          <w:p w14:paraId="7695FF0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Coordinate with ITD to ensure supplier contracts include physical and environmental security requirements where applicable.</w:t>
            </w:r>
          </w:p>
          <w:p w14:paraId="7365DA7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Support supplier security reviews, contracts, addendums and service requirements before supplier access or service commencement.</w:t>
            </w:r>
          </w:p>
          <w:p w14:paraId="257A7A6B"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Quality &amp; Risk Management (QRM):</w:t>
            </w:r>
          </w:p>
          <w:p w14:paraId="66B7327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Assure the integrity of approved ISMS policies and procedures with the existing management system.</w:t>
            </w:r>
          </w:p>
          <w:p w14:paraId="1D17BFAC"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Ensure ISMS risk assessment, internal audit, management review and document control activities are carried out as required.</w:t>
            </w:r>
          </w:p>
          <w:p w14:paraId="3320E50E"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Investigate reported breaches or incidents where required and issue findings and recommendations.</w:t>
            </w:r>
          </w:p>
          <w:p w14:paraId="10000D1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Monitor corrective actions related to physical and environmental security audit findings and incidents.</w:t>
            </w:r>
          </w:p>
          <w:p w14:paraId="6D025436"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Department Heads:</w:t>
            </w:r>
          </w:p>
          <w:p w14:paraId="0D65924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Ensure employees and contractors under their function comply with this policy.</w:t>
            </w:r>
          </w:p>
          <w:p w14:paraId="0CAA896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Approve access requests only where there is a valid business need and ensure access is removed when no longer required.</w:t>
            </w:r>
          </w:p>
          <w:p w14:paraId="056566A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Report physical security weaknesses, incidents and unsafe conditions to ITD, Security / Facility Management and QRM as applicable.</w:t>
            </w:r>
          </w:p>
          <w:p w14:paraId="1E1F8CF4"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Employees, Contractors and Visitors:</w:t>
            </w:r>
          </w:p>
          <w:p w14:paraId="3B6F2B4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Comply with physical security rules, visitor rules, clear desk / clear screen requirements and secure area restrictions.</w:t>
            </w:r>
          </w:p>
          <w:p w14:paraId="32DC3D4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Do not enter secure areas without authorization and do not allow tailgating or shared access cards.</w:t>
            </w:r>
          </w:p>
          <w:p w14:paraId="46288C2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Report any suspected unauthorized access, theft, loss, damage, environmental alarm or security weakness immediately.</w:t>
            </w:r>
          </w:p>
          <w:p w14:paraId="1C94FA67"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CTO / Managing Director: Approval of any exception to this policy.</w:t>
            </w:r>
          </w:p>
        </w:tc>
      </w:tr>
      <w:tr w:rsidR="00D70E93" w:rsidRPr="0090340F" w14:paraId="184B058B" w14:textId="77777777">
        <w:trPr>
          <w:jc w:val="center"/>
        </w:trPr>
        <w:tc>
          <w:tcPr>
            <w:tcW w:w="1843" w:type="dxa"/>
            <w:tcMar>
              <w:top w:w="80" w:type="dxa"/>
              <w:left w:w="100" w:type="dxa"/>
              <w:bottom w:w="80" w:type="dxa"/>
              <w:right w:w="100" w:type="dxa"/>
            </w:tcMar>
          </w:tcPr>
          <w:p w14:paraId="14BBA9D7" w14:textId="77777777" w:rsidR="00D70E93" w:rsidRPr="0090340F" w:rsidRDefault="00000000">
            <w:pPr>
              <w:spacing w:after="0"/>
              <w:rPr>
                <w:rFonts w:asciiTheme="majorHAnsi" w:hAnsiTheme="majorHAnsi" w:cstheme="majorHAnsi"/>
                <w:sz w:val="22"/>
              </w:rPr>
            </w:pPr>
            <w:r w:rsidRPr="0090340F">
              <w:rPr>
                <w:rFonts w:asciiTheme="majorHAnsi" w:hAnsiTheme="majorHAnsi" w:cstheme="majorHAnsi"/>
                <w:b/>
                <w:sz w:val="22"/>
              </w:rPr>
              <w:lastRenderedPageBreak/>
              <w:t>Guidelines</w:t>
            </w:r>
          </w:p>
        </w:tc>
        <w:tc>
          <w:tcPr>
            <w:tcW w:w="8482" w:type="dxa"/>
            <w:tcMar>
              <w:top w:w="80" w:type="dxa"/>
              <w:left w:w="100" w:type="dxa"/>
              <w:bottom w:w="80" w:type="dxa"/>
              <w:right w:w="100" w:type="dxa"/>
            </w:tcMar>
          </w:tcPr>
          <w:p w14:paraId="7E6F6230"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 General requirements and risk-based application</w:t>
            </w:r>
          </w:p>
          <w:p w14:paraId="1216B76A"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 xml:space="preserve">SMSA shall protect information assets by applying physical and environmental controls </w:t>
            </w:r>
            <w:r w:rsidRPr="0090340F">
              <w:rPr>
                <w:rFonts w:asciiTheme="majorHAnsi" w:hAnsiTheme="majorHAnsi" w:cstheme="majorHAnsi"/>
                <w:sz w:val="22"/>
              </w:rPr>
              <w:lastRenderedPageBreak/>
              <w:t>based on business need, asset criticality, information classification, location risk and business impact.</w:t>
            </w:r>
          </w:p>
          <w:p w14:paraId="0C87073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Physical and environmental risks shall be identified, assessed, treated, monitored and reviewed through the approved Information Security Risk Management Procedure.</w:t>
            </w:r>
          </w:p>
          <w:p w14:paraId="332DB60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Risk assessment shall be completed or updated when establishing a new secure area, making major facility or IT changes, onboarding a hosted or third-party location, or after a significant physical or environmental security incident.</w:t>
            </w:r>
          </w:p>
          <w:p w14:paraId="7BAD28F2"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Controls shall support the confidentiality, integrity and availability of SMSA information and services.</w:t>
            </w:r>
          </w:p>
          <w:p w14:paraId="3D08B62A"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Where a control cannot be fully implemented, the gap shall be recorded, risk accepted by the authorized level, and a treatment or improvement plan shall be maintained.</w:t>
            </w:r>
          </w:p>
          <w:p w14:paraId="1241329E"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2. Physical security perimeters</w:t>
            </w:r>
          </w:p>
          <w:p w14:paraId="6A3F843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Secure areas shall be clearly defined based on the sensitivity of the information, equipment and services located in the area.</w:t>
            </w:r>
          </w:p>
          <w:p w14:paraId="21BFB08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Physical security perimeters may include walls, doors, gates, locks, controlled entry points, access card systems, guards, CCTV, alarms or other suitable controls.</w:t>
            </w:r>
          </w:p>
          <w:p w14:paraId="51E5267B"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Data centres, server rooms, communication rooms, switching rooms and rooms containing critical network equipment shall be treated as secure areas.</w:t>
            </w:r>
          </w:p>
          <w:p w14:paraId="5F020FE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Public or unnecessary signage that reveals the function of critical IT areas should be avoided where practical.</w:t>
            </w:r>
          </w:p>
          <w:p w14:paraId="6D29EFBB"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points to secure areas shall be kept to the minimum needed for business and safety requirements.</w:t>
            </w:r>
          </w:p>
          <w:p w14:paraId="7CDEC3B4"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3. Physical entry controls</w:t>
            </w:r>
          </w:p>
          <w:p w14:paraId="0906CA7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to SMSA sites and secure areas shall be granted only after a formal request and approval from the relevant Department Head, asset owner, ITD or Security / Facility Management, as applicable.</w:t>
            </w:r>
          </w:p>
          <w:p w14:paraId="64917391"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shall be role-based, time-bound where applicable, and limited to the minimum area required for the approved work.</w:t>
            </w:r>
          </w:p>
          <w:p w14:paraId="3B0B810E"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Identification shall be checked before access is granted. Access cards, keys and visitor badges shall not be shared.</w:t>
            </w:r>
          </w:p>
          <w:p w14:paraId="4362C7D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to data centres, server rooms, communication rooms and critical IT areas shall be restricted to authorized personnel only.</w:t>
            </w:r>
          </w:p>
          <w:p w14:paraId="3F9916B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Visitors and suppliers shall be logged, issued visitor identification where applicable, escorted inside secure areas, and required to return badges or temporary access cards before leaving.</w:t>
            </w:r>
          </w:p>
          <w:p w14:paraId="6F0A1AC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rights shall be reviewed at least annually and whenever there is a transfer, role change, termination, contract end, or change in business need.</w:t>
            </w:r>
          </w:p>
          <w:p w14:paraId="71B19D5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shall be removed immediately when it is no longer required.</w:t>
            </w:r>
          </w:p>
          <w:p w14:paraId="45ED8E56"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4. Securing offices, rooms and facilities</w:t>
            </w:r>
          </w:p>
          <w:p w14:paraId="457A459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Offices, rooms and facilities containing information assets shall be protected against unauthorized access, misuse, theft, damage and interference.</w:t>
            </w:r>
          </w:p>
          <w:p w14:paraId="7ECCB59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Critical IT equipment shall be installed in locked rooms, locked racks or otherwise secured locations approved by ITD.</w:t>
            </w:r>
          </w:p>
          <w:p w14:paraId="0E5ED50C"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Secure areas shall be locked when vacant and inspected periodically where required.</w:t>
            </w:r>
          </w:p>
          <w:p w14:paraId="671FDE9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lastRenderedPageBreak/>
              <w:t>Food, drinks and smoking are not allowed inside data centres, server rooms and communication rooms.</w:t>
            </w:r>
          </w:p>
          <w:p w14:paraId="4CAB074B"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Facility layout and access arrangements shall reduce the risk of unauthorized viewing, removal or tampering with information assets.</w:t>
            </w:r>
          </w:p>
          <w:p w14:paraId="5843AA2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Security requirements in the SMSA Security Manual shall be followed where they apply to site access, physical entry control, offices, rooms, facilities and loading areas.</w:t>
            </w:r>
          </w:p>
          <w:p w14:paraId="36E469B3"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5. Physical security monitoring</w:t>
            </w:r>
          </w:p>
          <w:p w14:paraId="73B7BA5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Physical security monitoring shall be applied to secure areas and critical locations based on risk. This may include CCTV, guards, alarms, motion detection, access control logs and environmental monitoring alerts.</w:t>
            </w:r>
          </w:p>
          <w:p w14:paraId="6A746BE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CCTV and access control records shall be protected against unauthorized access, alteration and deletion.</w:t>
            </w:r>
          </w:p>
          <w:p w14:paraId="0F5D588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to CCTV footage and physical security logs shall be limited to authorized personnel and used only for approved business, security, investigation or legal purposes.</w:t>
            </w:r>
          </w:p>
          <w:p w14:paraId="0B19654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CCTV retention and access log retention shall follow SMSA approved retention requirements and any applicable legal or regulatory requirements.</w:t>
            </w:r>
          </w:p>
          <w:p w14:paraId="684ECD1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Monitoring failures affecting critical locations shall be reported and corrected within an appropriate timeframe based on risk.</w:t>
            </w:r>
          </w:p>
          <w:p w14:paraId="321E36E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Physical security monitoring records shall be made available to QRM, ITD, Security / Facility Management, HR or Legal when required for investigation or audit.</w:t>
            </w:r>
          </w:p>
          <w:p w14:paraId="4C2D366D"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6. Protecting against physical and environmental threats</w:t>
            </w:r>
          </w:p>
          <w:p w14:paraId="7D8DCCC2"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SMSA facilities and IT areas shall be protected against physical and environmental threats such as fire, smoke, water leak, flood, power failure, air conditioning failure, overheating, dust, malicious attack, accident and unauthorized interference.</w:t>
            </w:r>
          </w:p>
          <w:p w14:paraId="43F5348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Data centres and critical IT areas shall have appropriate controls such as smoke detectors, fire alarms, fire suppression, water leak detection, CCTV, environmental monitoring alerts, UPS, suitable power supply, backup lighting and air conditioning redundancy where required by risk and service criticality.</w:t>
            </w:r>
          </w:p>
          <w:p w14:paraId="30ECD0D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Environmental monitoring tools shall be configured to alert responsible personnel through approved channels, such as SMS, email, monitoring dashboard or other approved alerting method.</w:t>
            </w:r>
          </w:p>
          <w:p w14:paraId="0815CCD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Supporting controls such as fire suppression, UPS, generators, A/C, alarms and water detection shall be tested and maintained according to approved maintenance plans.</w:t>
            </w:r>
          </w:p>
          <w:p w14:paraId="475FEEB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Where required controls are not yet available or not working, ITD or Facility Management shall record the gap, assess the risk, escalate to management and maintain an approved treatment plan.</w:t>
            </w:r>
          </w:p>
          <w:p w14:paraId="46555BBD"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7. Working in secure areas</w:t>
            </w:r>
          </w:p>
          <w:p w14:paraId="53AD2E29"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to secure areas shall be on a need-to-know and need-to-access basis.</w:t>
            </w:r>
          </w:p>
          <w:p w14:paraId="35D0C631"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Unsupervised work in secure areas shall be avoided unless specifically approved and controlled.</w:t>
            </w:r>
          </w:p>
          <w:p w14:paraId="255023D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Visitors, suppliers and cleaning staff shall be escorted in data centres, server rooms, communication rooms and other critical IT areas.</w:t>
            </w:r>
          </w:p>
          <w:p w14:paraId="0E7BA10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Photography, video recording, audio recording or use of recording devices inside secure areas is not allowed unless formally authorized.</w:t>
            </w:r>
          </w:p>
          <w:p w14:paraId="37DCA28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lastRenderedPageBreak/>
              <w:t>Work performed inside secure areas shall not create unnecessary risk to information assets, equipment, cabling, power, cooling or monitoring controls.</w:t>
            </w:r>
          </w:p>
          <w:p w14:paraId="26538529"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Secure areas shall be left clean, locked and in a safe condition after work is completed.</w:t>
            </w:r>
          </w:p>
          <w:p w14:paraId="6D283C40"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8. Clear desk and clear screen</w:t>
            </w:r>
          </w:p>
          <w:p w14:paraId="3B9C529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Sensitive or critical business information on paper, removable media or other physical form shall be locked away when not required, especially when the work area is unattended or outside business hours.</w:t>
            </w:r>
          </w:p>
          <w:p w14:paraId="7719680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Computers and user devices shall be locked or logged off when unattended.</w:t>
            </w:r>
          </w:p>
          <w:p w14:paraId="24B9F54C"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Workstations and servers shall automatically lock or terminate inactive sessions after the approved inactivity period. Where no different approved requirement exists, 15 minutes shall be used for standard workstations and servers.</w:t>
            </w:r>
          </w:p>
          <w:p w14:paraId="0D04232E"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Sensitive documents shall be removed from printers, scanners and photocopiers immediately after printing or scanning.</w:t>
            </w:r>
          </w:p>
          <w:p w14:paraId="72C6428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Unauthorized use of photocopiers, scanners, printers or cameras to copy sensitive information is not allowed.</w:t>
            </w:r>
          </w:p>
          <w:p w14:paraId="3AF2EBF7"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9. Equipment siting and protection</w:t>
            </w:r>
          </w:p>
          <w:p w14:paraId="1453421E"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Servers shall be located inside approved data centres, server rooms or other secure areas approved by ITD.</w:t>
            </w:r>
          </w:p>
          <w:p w14:paraId="591C352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Core switches, routers, firewalls, storage, CCTV systems, communication equipment and other critical infrastructure shall be located in secure rooms, locked racks or approved secure locations.</w:t>
            </w:r>
          </w:p>
          <w:p w14:paraId="2A2F816B"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switches and network cabinets shall be locked where practical and access shall be limited to authorized personnel.</w:t>
            </w:r>
          </w:p>
          <w:p w14:paraId="7B84A97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Equipment shall be installed and operated in conditions that do not damage the asset or reduce service availability, including proper temperature, ventilation, power and physical protection.</w:t>
            </w:r>
          </w:p>
          <w:p w14:paraId="2B65C13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Motion detection, CCTV or other monitoring controls shall be used for critical IT locations where required by risk.</w:t>
            </w:r>
          </w:p>
          <w:p w14:paraId="79B19751"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Backup lighting shall be available for data centres and communication rooms where required for safe and controlled access.</w:t>
            </w:r>
          </w:p>
          <w:p w14:paraId="2D06FDCE"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10. Security of equipment and assets off-premises</w:t>
            </w:r>
          </w:p>
          <w:p w14:paraId="0043999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SMSA equipment and information assets used outside SMSA premises shall be protected against loss, theft, unauthorized access, damage and misuse.</w:t>
            </w:r>
          </w:p>
          <w:p w14:paraId="3C67C97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IT assets shall not be left unattended in public places or unsecured vehicles.</w:t>
            </w:r>
          </w:p>
          <w:p w14:paraId="74A98A8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Equipment shall be transported in a safe manner and protected from physical damage, theft and environmental exposure.</w:t>
            </w:r>
          </w:p>
          <w:p w14:paraId="2733C47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Ownership, custody and return requirements for off-premises assets shall be clear and recorded where applicable.</w:t>
            </w:r>
          </w:p>
          <w:p w14:paraId="0804F342"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Risks related to off-premises assets shall be identified and treated based on the sensitivity of information, device type, user role and location.</w:t>
            </w:r>
          </w:p>
          <w:p w14:paraId="40F4DF47"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Lost, stolen or damaged equipment shall be reported immediately to ITD, Security / Facility Management and QRM as applicable.</w:t>
            </w:r>
          </w:p>
          <w:p w14:paraId="0D267865"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11. Storage media</w:t>
            </w:r>
          </w:p>
          <w:p w14:paraId="17E566C1"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lastRenderedPageBreak/>
              <w:t>Storage media containing SMSA information shall be protected based on information classification and risk.</w:t>
            </w:r>
          </w:p>
          <w:p w14:paraId="56A3A61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Storage media includes hard disks, backup tapes, USB drives, memory cards, portable drives, CDs/DVDs, mobile devices and any other media capable of storing information.</w:t>
            </w:r>
          </w:p>
          <w:p w14:paraId="5F27D87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Storage media shall be kept in secure locations when not in use and shall not be removed from SMSA premises without authorization where applicable.</w:t>
            </w:r>
          </w:p>
          <w:p w14:paraId="16A7F65E"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Movement of sensitive storage media shall be approved, logged and protected during transfer.</w:t>
            </w:r>
          </w:p>
          <w:p w14:paraId="44A3434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Unapproved removable media shall not be connected to SMSA systems.</w:t>
            </w:r>
          </w:p>
          <w:p w14:paraId="4658A71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Backup media shall be protected against unauthorized access, damage, loss and environmental threats.</w:t>
            </w:r>
          </w:p>
          <w:p w14:paraId="520E6B27"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12. Supporting utilities</w:t>
            </w:r>
          </w:p>
          <w:p w14:paraId="0E319C8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Critical IT services shall be supported by suitable utilities such as electricity, UPS, generators where applicable, air conditioning, fire suppression, water detection, communication links and environmental monitoring.</w:t>
            </w:r>
          </w:p>
          <w:p w14:paraId="204F777C"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Capacity shall be assessed before significant expansion or changes to critical IT infrastructure.</w:t>
            </w:r>
          </w:p>
          <w:p w14:paraId="23A7949C"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Supporting utilities shall be maintained and tested periodically. Testing records shall be retained.</w:t>
            </w:r>
          </w:p>
          <w:p w14:paraId="6EFCDFD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Alarms shall be installed in data centres, backup data centres, communication rooms, switching rooms, warehouses or other critical locations where required by risk.</w:t>
            </w:r>
          </w:p>
          <w:p w14:paraId="76250E27"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Utility failures that may affect information services shall be escalated to ITD and Facility Management immediately.</w:t>
            </w:r>
          </w:p>
          <w:p w14:paraId="069CEB87"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13. Cabling security</w:t>
            </w:r>
          </w:p>
          <w:p w14:paraId="4D04492C"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Power and communication cables shall be protected from unauthorized access, interference, damage and accidental disconnection.</w:t>
            </w:r>
          </w:p>
          <w:p w14:paraId="3878007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Network cables shall be labelled, grouped in panels where practical and terminated inside locked racks, network cabinets or secure rooms.</w:t>
            </w:r>
          </w:p>
          <w:p w14:paraId="6EB79DA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Communication cables shall be separated from electrical cables and sources of electromagnetic interference where practical.</w:t>
            </w:r>
          </w:p>
          <w:p w14:paraId="15277B71"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Loose connections, unsafe cable joints and unauthorized cable connections are not allowed.</w:t>
            </w:r>
          </w:p>
          <w:p w14:paraId="26B7500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Communication cables should be underground, concealed or otherwise protected where practical and justified by risk.</w:t>
            </w:r>
          </w:p>
          <w:p w14:paraId="6185FC4D"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Unauthorized devices shall not be connected to SMSA network cables or network ports.</w:t>
            </w:r>
          </w:p>
          <w:p w14:paraId="6C2CF50E"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14. Equipment maintenance</w:t>
            </w:r>
          </w:p>
          <w:p w14:paraId="13C2072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Critical IT and data centre assets shall have a preventive maintenance plan.</w:t>
            </w:r>
          </w:p>
          <w:p w14:paraId="159A5B89"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Maintenance shall be performed only by authorized employees or approved suppliers.</w:t>
            </w:r>
          </w:p>
          <w:p w14:paraId="5DB658DB"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Maintenance activities inside secure areas shall be logged and supervised where required.</w:t>
            </w:r>
          </w:p>
          <w:p w14:paraId="377BAB57"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Maintenance suppliers shall not access SMSA information or systems unless access is approved and controlled.</w:t>
            </w:r>
          </w:p>
          <w:p w14:paraId="1E69040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Users shall be notified in advance when maintenance may cause service downtime, unless emergency maintenance is required.</w:t>
            </w:r>
          </w:p>
          <w:p w14:paraId="3DCBFE5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lastRenderedPageBreak/>
              <w:t>IT assets shall be inspected after maintenance and before returning to normal operation where required.</w:t>
            </w:r>
          </w:p>
          <w:p w14:paraId="55EA521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Maintenance reports, test results and related evidence shall be retained. A maintenance status summary shall be reported to the National IT Manager at least quarterly for critical IT areas.</w:t>
            </w:r>
          </w:p>
          <w:p w14:paraId="195BEC16"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15. Secure disposal or reuse of equipment</w:t>
            </w:r>
          </w:p>
          <w:p w14:paraId="767CD68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Equipment and storage media shall be securely cleared, wiped, destroyed, degaussed or otherwise treated before disposal, reuse, return to supplier, donation or transfer, based on data classification and risk.</w:t>
            </w:r>
          </w:p>
          <w:p w14:paraId="2E3E6D9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Passwords, accounts, configurations, certificates, keys and sensitive information shall be removed before equipment is reused or disposed of.</w:t>
            </w:r>
          </w:p>
          <w:p w14:paraId="2BFEA8B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Disposal or reuse of servers, laptops, storage devices, network devices and removable media shall be approved by ITD and recorded.</w:t>
            </w:r>
          </w:p>
          <w:p w14:paraId="639A9E0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Where secure destruction is required, destruction certificates or equivalent evidence shall be retained.</w:t>
            </w:r>
          </w:p>
          <w:p w14:paraId="3DACC1C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External disposal service providers shall be reviewed and controlled before they handle SMSA equipment or media.</w:t>
            </w:r>
          </w:p>
          <w:p w14:paraId="27924C87"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Fixed asset records shall be updated after disposal, transfer or reuse.</w:t>
            </w:r>
          </w:p>
          <w:p w14:paraId="328EA618"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16. Delivery and loading areas</w:t>
            </w:r>
          </w:p>
          <w:p w14:paraId="2586B26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Delivery and loading areas shall be controlled to prevent unauthorized access to secure areas and information assets.</w:t>
            </w:r>
          </w:p>
          <w:p w14:paraId="3B76B810"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Delivery personnel shall not access secure IT areas unless approved, logged and escorted.</w:t>
            </w:r>
          </w:p>
          <w:p w14:paraId="548022D1"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Incoming and outgoing equipment shall be checked where applicable to confirm authorization, condition and asset details.</w:t>
            </w:r>
          </w:p>
          <w:p w14:paraId="52C48012"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Loading areas shall be separated from data centres, server rooms and other secure areas where practical.</w:t>
            </w:r>
          </w:p>
          <w:p w14:paraId="57720BB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Suspicious deliveries, tampered packages or unauthorized removal attempts shall be reported immediately.</w:t>
            </w:r>
          </w:p>
          <w:p w14:paraId="4D37D813"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17. Third-party physical security and hosted locations</w:t>
            </w:r>
          </w:p>
          <w:p w14:paraId="7269290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Where SMSA information assets are hosted, supported or processed by a third party, the supplier shall provide suitable physical and environmental security controls based on the service risk.</w:t>
            </w:r>
          </w:p>
          <w:p w14:paraId="47576FAB"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Supplier contracts, service agreements or security addendums shall include physical and environmental security requirements where applicable.</w:t>
            </w:r>
          </w:p>
          <w:p w14:paraId="0063DEA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SMSA may request evidence such as certifications, audit reports, data centre control descriptions, access control procedures, maintenance records or incident reports where required by risk.</w:t>
            </w:r>
          </w:p>
          <w:p w14:paraId="12612C8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Third-party access to SMSA secure areas shall be approved, logged and escorted unless a documented exception is approved.</w:t>
            </w:r>
          </w:p>
          <w:p w14:paraId="34F5B639"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Supplier physical security incidents affecting SMSA information or services shall be reported to SMSA in line with contract and incident reporting requirements.</w:t>
            </w:r>
          </w:p>
          <w:p w14:paraId="515C6AA0"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18. Incident reporting and escalation</w:t>
            </w:r>
          </w:p>
          <w:p w14:paraId="617357D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 xml:space="preserve">Physical or environmental security incidents shall be reported immediately to the </w:t>
            </w:r>
            <w:r w:rsidRPr="0090340F">
              <w:rPr>
                <w:rFonts w:asciiTheme="majorHAnsi" w:hAnsiTheme="majorHAnsi" w:cstheme="majorHAnsi"/>
                <w:sz w:val="22"/>
              </w:rPr>
              <w:lastRenderedPageBreak/>
              <w:t>relevant responsible function, including ITD, Security / Facility Management and QRM, as applicable.</w:t>
            </w:r>
          </w:p>
          <w:p w14:paraId="20FD932C"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Reportable events include unauthorized access, tailgating, lost access card or key, theft, loss or damage of IT assets, CCTV failure, alarm failure, fire, water leak, power failure, cooling failure, environmental alert, suspicious activity and any suspected breach of secure areas.</w:t>
            </w:r>
          </w:p>
          <w:p w14:paraId="3B03BE1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QRM shall review or investigate incidents where required and issue findings and recommendations.</w:t>
            </w:r>
          </w:p>
          <w:p w14:paraId="199FB67F"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ITD, Security / Facility Management and Department Heads shall support investigation, containment, corrective action and evidence collection.</w:t>
            </w:r>
          </w:p>
          <w:p w14:paraId="1F28E69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Incidents shall be recorded in the approved system or register and corrective actions shall be tracked to closure.</w:t>
            </w:r>
          </w:p>
          <w:p w14:paraId="7F227755"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19. Records and evidence</w:t>
            </w:r>
          </w:p>
          <w:p w14:paraId="6848E13A"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SMSA shall maintain records, where applicable, to demonstrate implementation of this policy.</w:t>
            </w:r>
          </w:p>
          <w:p w14:paraId="4EF556E5"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Records may include physical access approvals, access review records, access card/key registers, visitor logs, CCTV records, secure area access logs, maintenance records, utility test records, environmental monitoring alerts, incident reports, corrective action records, asset movement approvals, disposal records, destruction certificates, third-party security evidence, risk assessment records and policy exception approvals.</w:t>
            </w:r>
          </w:p>
          <w:p w14:paraId="35136D74"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Records shall be protected from unauthorized access, alteration and loss, and retained in line with SMSA retention requirements.</w:t>
            </w:r>
          </w:p>
          <w:p w14:paraId="455AC1F3"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20. Review Period</w:t>
            </w:r>
          </w:p>
          <w:p w14:paraId="45CF53B4"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sz w:val="22"/>
              </w:rPr>
              <w:t>The policy will be reviewed by the National IT Manager on an annual basis or as mandated by a major change in business, legal, regulatory, technology, risk, audit or other compliance requirements.</w:t>
            </w:r>
          </w:p>
          <w:p w14:paraId="3DCB04B8"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21. Enforcement</w:t>
            </w:r>
          </w:p>
          <w:p w14:paraId="3080E900"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21.1 Policy Violation</w:t>
            </w:r>
          </w:p>
          <w:p w14:paraId="5C777CE4"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sz w:val="22"/>
              </w:rPr>
              <w:t>Violation of this policy shall result in corrective action as per DVD. Disciplinary action shall be consistent with the severity of the incident, as determined by the investigation, and may include, but is not limited to:</w:t>
            </w:r>
          </w:p>
          <w:p w14:paraId="6EFF1323"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Warning letter</w:t>
            </w:r>
          </w:p>
          <w:p w14:paraId="4A8E1D8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Removal or restriction of access privileges to information assets or secure areas</w:t>
            </w:r>
          </w:p>
          <w:p w14:paraId="490F889A"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Termination of employment or contract</w:t>
            </w:r>
          </w:p>
          <w:p w14:paraId="73F85D80"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Legal or recovery action where applicable</w:t>
            </w:r>
          </w:p>
          <w:p w14:paraId="1A27E460"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Other actions deemed appropriate by management, HR department and Legal department</w:t>
            </w:r>
          </w:p>
          <w:p w14:paraId="0770E782"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b/>
                <w:sz w:val="22"/>
              </w:rPr>
              <w:t>21.2 Policy Waiver</w:t>
            </w:r>
          </w:p>
          <w:p w14:paraId="116E1549" w14:textId="77777777" w:rsidR="00D70E93" w:rsidRPr="0090340F" w:rsidRDefault="00000000">
            <w:pPr>
              <w:spacing w:after="100"/>
              <w:rPr>
                <w:rFonts w:asciiTheme="majorHAnsi" w:hAnsiTheme="majorHAnsi" w:cstheme="majorHAnsi"/>
                <w:sz w:val="22"/>
              </w:rPr>
            </w:pPr>
            <w:r w:rsidRPr="0090340F">
              <w:rPr>
                <w:rFonts w:asciiTheme="majorHAnsi" w:hAnsiTheme="majorHAnsi" w:cstheme="majorHAnsi"/>
                <w:sz w:val="22"/>
              </w:rPr>
              <w:t>Any exception to this policy has to be formally approved by the CTO or Managing Director and documented. The exception shall include the reason, risk assessment, compensating controls, expiry date and responsible owner.</w:t>
            </w:r>
          </w:p>
          <w:p w14:paraId="473347B1" w14:textId="77777777" w:rsidR="00D70E93" w:rsidRPr="0090340F" w:rsidRDefault="00000000">
            <w:pPr>
              <w:spacing w:after="80"/>
              <w:rPr>
                <w:rFonts w:asciiTheme="majorHAnsi" w:hAnsiTheme="majorHAnsi" w:cstheme="majorHAnsi"/>
                <w:sz w:val="22"/>
              </w:rPr>
            </w:pPr>
            <w:r w:rsidRPr="0090340F">
              <w:rPr>
                <w:rFonts w:asciiTheme="majorHAnsi" w:hAnsiTheme="majorHAnsi" w:cstheme="majorHAnsi"/>
                <w:b/>
                <w:sz w:val="22"/>
              </w:rPr>
              <w:t>22. Related Documents</w:t>
            </w:r>
          </w:p>
          <w:p w14:paraId="155237A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lastRenderedPageBreak/>
              <w:t>Organization of Information Security Policy</w:t>
            </w:r>
          </w:p>
          <w:p w14:paraId="0E2DE028"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Information Security Risk Management Procedure</w:t>
            </w:r>
          </w:p>
          <w:p w14:paraId="10FD13E2"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Supplier Relationships Policy</w:t>
            </w:r>
          </w:p>
          <w:p w14:paraId="57F0852A"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SMSA Information Security Contracts Addendum</w:t>
            </w:r>
          </w:p>
          <w:p w14:paraId="413181B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Asset Management Policy</w:t>
            </w:r>
          </w:p>
          <w:p w14:paraId="2349FAB6"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Access Control Policy</w:t>
            </w:r>
          </w:p>
          <w:p w14:paraId="6823D88E" w14:textId="77777777"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Incident Management Procedure</w:t>
            </w:r>
          </w:p>
          <w:p w14:paraId="4237A184" w14:textId="01EB1CDD" w:rsidR="00D70E93" w:rsidRPr="0090340F" w:rsidRDefault="00000000">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 xml:space="preserve">Business Continuity </w:t>
            </w:r>
            <w:r w:rsidR="0090340F">
              <w:rPr>
                <w:rFonts w:asciiTheme="majorHAnsi" w:hAnsiTheme="majorHAnsi" w:cstheme="majorHAnsi"/>
                <w:sz w:val="22"/>
              </w:rPr>
              <w:t>Policy</w:t>
            </w:r>
          </w:p>
          <w:p w14:paraId="2827DD00" w14:textId="77777777" w:rsidR="0090340F" w:rsidRDefault="00000000" w:rsidP="0090340F">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 xml:space="preserve">Security Manual on GUIDE </w:t>
            </w:r>
          </w:p>
          <w:p w14:paraId="2BB6A0FE" w14:textId="246740A6" w:rsidR="00D70E93" w:rsidRPr="0090340F" w:rsidRDefault="00000000" w:rsidP="0090340F">
            <w:pPr>
              <w:pStyle w:val="ListBullet"/>
              <w:spacing w:after="60"/>
              <w:ind w:left="288" w:hanging="216"/>
              <w:rPr>
                <w:rFonts w:asciiTheme="majorHAnsi" w:hAnsiTheme="majorHAnsi" w:cstheme="majorHAnsi"/>
                <w:sz w:val="22"/>
              </w:rPr>
            </w:pPr>
            <w:r w:rsidRPr="0090340F">
              <w:rPr>
                <w:rFonts w:asciiTheme="majorHAnsi" w:hAnsiTheme="majorHAnsi" w:cstheme="majorHAnsi"/>
                <w:sz w:val="22"/>
              </w:rPr>
              <w:t>Document Control Procedure</w:t>
            </w:r>
          </w:p>
        </w:tc>
      </w:tr>
    </w:tbl>
    <w:p w14:paraId="11207419" w14:textId="77777777" w:rsidR="001F64A4" w:rsidRPr="0090340F" w:rsidRDefault="001F64A4">
      <w:pPr>
        <w:rPr>
          <w:rFonts w:asciiTheme="majorHAnsi" w:hAnsiTheme="majorHAnsi" w:cstheme="majorHAnsi"/>
          <w:sz w:val="22"/>
        </w:rPr>
      </w:pPr>
    </w:p>
    <w:sectPr w:rsidR="001F64A4" w:rsidRPr="0090340F" w:rsidSect="00034616">
      <w:headerReference w:type="default" r:id="rId8"/>
      <w:footerReference w:type="default" r:id="rId9"/>
      <w:pgSz w:w="11909" w:h="16834"/>
      <w:pgMar w:top="648" w:right="792" w:bottom="792" w:left="792"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B7C15" w14:textId="77777777" w:rsidR="001F64A4" w:rsidRDefault="001F64A4">
      <w:pPr>
        <w:spacing w:after="0" w:line="240" w:lineRule="auto"/>
      </w:pPr>
      <w:r>
        <w:separator/>
      </w:r>
    </w:p>
  </w:endnote>
  <w:endnote w:type="continuationSeparator" w:id="0">
    <w:p w14:paraId="38FFC6FB" w14:textId="77777777" w:rsidR="001F64A4" w:rsidRDefault="001F6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5AC4" w14:textId="77777777" w:rsidR="00D70E93" w:rsidRDefault="00D70E93">
    <w:pPr>
      <w:pStyle w:val="Footer"/>
    </w:pPr>
  </w:p>
  <w:tbl>
    <w:tblPr>
      <w:tblW w:w="0" w:type="auto"/>
      <w:tblLayout w:type="fixed"/>
      <w:tblLook w:val="04A0" w:firstRow="1" w:lastRow="0" w:firstColumn="1" w:lastColumn="0" w:noHBand="0" w:noVBand="1"/>
    </w:tblPr>
    <w:tblGrid>
      <w:gridCol w:w="4320"/>
      <w:gridCol w:w="6004"/>
    </w:tblGrid>
    <w:tr w:rsidR="00D70E93" w14:paraId="7B7863BA" w14:textId="77777777">
      <w:tc>
        <w:tcPr>
          <w:tcW w:w="4320" w:type="dxa"/>
          <w:tcMar>
            <w:top w:w="0" w:type="dxa"/>
            <w:left w:w="0" w:type="dxa"/>
            <w:bottom w:w="0" w:type="dxa"/>
            <w:right w:w="0" w:type="dxa"/>
          </w:tcMar>
        </w:tcPr>
        <w:p w14:paraId="6FDCEAE4" w14:textId="77777777" w:rsidR="00D70E93" w:rsidRDefault="00000000">
          <w:r>
            <w:rPr>
              <w:sz w:val="16"/>
            </w:rPr>
            <w:t xml:space="preserve">Page </w:t>
          </w:r>
          <w:r>
            <w:fldChar w:fldCharType="begin"/>
          </w:r>
          <w:r>
            <w:instrText>PAGE</w:instrText>
          </w:r>
          <w:r w:rsidR="0090340F">
            <w:fldChar w:fldCharType="separate"/>
          </w:r>
          <w:r w:rsidR="0090340F">
            <w:rPr>
              <w:noProof/>
            </w:rPr>
            <w:t>1</w:t>
          </w:r>
          <w:r>
            <w:fldChar w:fldCharType="end"/>
          </w:r>
          <w:r>
            <w:rPr>
              <w:sz w:val="16"/>
            </w:rPr>
            <w:t xml:space="preserve"> of </w:t>
          </w:r>
          <w:r>
            <w:fldChar w:fldCharType="begin"/>
          </w:r>
          <w:r>
            <w:instrText>NUMPAGES</w:instrText>
          </w:r>
          <w:r w:rsidR="0090340F">
            <w:fldChar w:fldCharType="separate"/>
          </w:r>
          <w:r w:rsidR="0090340F">
            <w:rPr>
              <w:noProof/>
            </w:rPr>
            <w:t>2</w:t>
          </w:r>
          <w:r>
            <w:fldChar w:fldCharType="end"/>
          </w:r>
        </w:p>
      </w:tc>
      <w:tc>
        <w:tcPr>
          <w:tcW w:w="6004" w:type="dxa"/>
          <w:tcMar>
            <w:top w:w="0" w:type="dxa"/>
            <w:left w:w="0" w:type="dxa"/>
            <w:bottom w:w="0" w:type="dxa"/>
            <w:right w:w="0" w:type="dxa"/>
          </w:tcMar>
        </w:tcPr>
        <w:p w14:paraId="092C16EE" w14:textId="77777777" w:rsidR="00D70E93" w:rsidRDefault="00000000" w:rsidP="0090340F">
          <w:r>
            <w:rPr>
              <w:sz w:val="16"/>
            </w:rPr>
            <w:t>Uncontrolled copy if printed</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9739A" w14:textId="77777777" w:rsidR="001F64A4" w:rsidRDefault="001F64A4">
      <w:pPr>
        <w:spacing w:after="0" w:line="240" w:lineRule="auto"/>
      </w:pPr>
      <w:r>
        <w:separator/>
      </w:r>
    </w:p>
  </w:footnote>
  <w:footnote w:type="continuationSeparator" w:id="0">
    <w:p w14:paraId="0557B2F5" w14:textId="77777777" w:rsidR="001F64A4" w:rsidRDefault="001F6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0030" w14:textId="77777777" w:rsidR="00D70E93" w:rsidRDefault="00D70E93">
    <w:pPr>
      <w:pStyle w:val="Header"/>
    </w:pPr>
  </w:p>
  <w:tbl>
    <w:tblPr>
      <w:tblW w:w="0" w:type="auto"/>
      <w:jc w:val="center"/>
      <w:tblLayout w:type="fixed"/>
      <w:tblLook w:val="04A0" w:firstRow="1" w:lastRow="0" w:firstColumn="1" w:lastColumn="0" w:noHBand="0" w:noVBand="1"/>
    </w:tblPr>
    <w:tblGrid>
      <w:gridCol w:w="3168"/>
      <w:gridCol w:w="7156"/>
    </w:tblGrid>
    <w:tr w:rsidR="00D70E93" w:rsidRPr="0090340F" w14:paraId="67680C6D" w14:textId="77777777">
      <w:trPr>
        <w:jc w:val="center"/>
      </w:trPr>
      <w:tc>
        <w:tcPr>
          <w:tcW w:w="3168" w:type="dxa"/>
          <w:tcMar>
            <w:top w:w="0" w:type="dxa"/>
            <w:left w:w="0" w:type="dxa"/>
            <w:bottom w:w="0" w:type="dxa"/>
            <w:right w:w="0" w:type="dxa"/>
          </w:tcMar>
          <w:vAlign w:val="center"/>
        </w:tcPr>
        <w:p w14:paraId="3EA41744" w14:textId="77777777" w:rsidR="00D70E93" w:rsidRDefault="00000000" w:rsidP="0090340F">
          <w:pPr>
            <w:spacing w:after="0"/>
          </w:pPr>
          <w:r>
            <w:rPr>
              <w:noProof/>
            </w:rPr>
            <w:drawing>
              <wp:inline distT="0" distB="0" distL="0" distR="0" wp14:anchorId="2530DC1E" wp14:editId="36E1B4A1">
                <wp:extent cx="1333500" cy="33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rotWithShape="1">
                        <a:blip r:embed="rId1"/>
                        <a:srcRect r="5913" b="40774"/>
                        <a:stretch>
                          <a:fillRect/>
                        </a:stretch>
                      </pic:blipFill>
                      <pic:spPr bwMode="auto">
                        <a:xfrm>
                          <a:off x="0" y="0"/>
                          <a:ext cx="1333512" cy="330203"/>
                        </a:xfrm>
                        <a:prstGeom prst="rect">
                          <a:avLst/>
                        </a:prstGeom>
                        <a:ln>
                          <a:noFill/>
                        </a:ln>
                        <a:extLst>
                          <a:ext uri="{53640926-AAD7-44D8-BBD7-CCE9431645EC}">
                            <a14:shadowObscured xmlns:a14="http://schemas.microsoft.com/office/drawing/2010/main"/>
                          </a:ext>
                        </a:extLst>
                      </pic:spPr>
                    </pic:pic>
                  </a:graphicData>
                </a:graphic>
              </wp:inline>
            </w:drawing>
          </w:r>
        </w:p>
      </w:tc>
      <w:tc>
        <w:tcPr>
          <w:tcW w:w="7156" w:type="dxa"/>
          <w:tcMar>
            <w:top w:w="0" w:type="dxa"/>
            <w:left w:w="0" w:type="dxa"/>
            <w:bottom w:w="0" w:type="dxa"/>
            <w:right w:w="0" w:type="dxa"/>
          </w:tcMar>
          <w:vAlign w:val="center"/>
        </w:tcPr>
        <w:p w14:paraId="6E38933A" w14:textId="77777777" w:rsidR="0090340F" w:rsidRDefault="0090340F" w:rsidP="0090340F">
          <w:pPr>
            <w:pStyle w:val="Header"/>
            <w:jc w:val="right"/>
            <w:rPr>
              <w:rFonts w:ascii="Calibri" w:hAnsi="Calibri"/>
              <w:b/>
              <w:noProof/>
              <w:sz w:val="32"/>
            </w:rPr>
          </w:pPr>
          <w:r>
            <w:rPr>
              <w:rFonts w:ascii="Calibri" w:hAnsi="Calibri"/>
              <w:b/>
              <w:noProof/>
              <w:sz w:val="32"/>
            </w:rPr>
            <w:t>Physical &amp; Environmental Security</w:t>
          </w:r>
          <w:r w:rsidRPr="008A0662">
            <w:rPr>
              <w:rFonts w:ascii="Calibri" w:hAnsi="Calibri"/>
              <w:b/>
              <w:noProof/>
              <w:sz w:val="32"/>
            </w:rPr>
            <w:t xml:space="preserve"> Policy</w:t>
          </w:r>
        </w:p>
        <w:p w14:paraId="59F00120" w14:textId="0B750EAF" w:rsidR="00D70E93" w:rsidRPr="0090340F" w:rsidRDefault="0090340F" w:rsidP="0090340F">
          <w:pPr>
            <w:spacing w:after="0"/>
            <w:jc w:val="right"/>
            <w:rPr>
              <w:rFonts w:asciiTheme="majorHAnsi" w:hAnsiTheme="majorHAnsi" w:cstheme="majorHAnsi"/>
              <w:bCs/>
            </w:rPr>
          </w:pPr>
          <w:r w:rsidRPr="0090340F">
            <w:rPr>
              <w:rFonts w:ascii="Calibri" w:hAnsi="Calibri"/>
              <w:noProof/>
              <w:sz w:val="24"/>
              <w:szCs w:val="32"/>
            </w:rPr>
            <w:t>Owner/ Department: ITD</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5476517">
    <w:abstractNumId w:val="8"/>
  </w:num>
  <w:num w:numId="2" w16cid:durableId="285233390">
    <w:abstractNumId w:val="6"/>
  </w:num>
  <w:num w:numId="3" w16cid:durableId="1340615974">
    <w:abstractNumId w:val="5"/>
  </w:num>
  <w:num w:numId="4" w16cid:durableId="120730658">
    <w:abstractNumId w:val="4"/>
  </w:num>
  <w:num w:numId="5" w16cid:durableId="1609191344">
    <w:abstractNumId w:val="7"/>
  </w:num>
  <w:num w:numId="6" w16cid:durableId="601690996">
    <w:abstractNumId w:val="3"/>
  </w:num>
  <w:num w:numId="7" w16cid:durableId="191697778">
    <w:abstractNumId w:val="2"/>
  </w:num>
  <w:num w:numId="8" w16cid:durableId="1887141024">
    <w:abstractNumId w:val="1"/>
  </w:num>
  <w:num w:numId="9" w16cid:durableId="1153369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64A4"/>
    <w:rsid w:val="0029639D"/>
    <w:rsid w:val="00326F90"/>
    <w:rsid w:val="003D2D7C"/>
    <w:rsid w:val="0043025D"/>
    <w:rsid w:val="0090340F"/>
    <w:rsid w:val="00AA1D8D"/>
    <w:rsid w:val="00B47730"/>
    <w:rsid w:val="00CB0664"/>
    <w:rsid w:val="00D70E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6C17D"/>
  <w14:defaultImageDpi w14:val="300"/>
  <w15:docId w15:val="{3AA298CB-CD8E-4DA8-BE37-004B3D4E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3202</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Mohammed Altamush Khan</cp:lastModifiedBy>
  <cp:revision>2</cp:revision>
  <dcterms:created xsi:type="dcterms:W3CDTF">2026-06-09T10:04:00Z</dcterms:created>
  <dcterms:modified xsi:type="dcterms:W3CDTF">2026-06-09T10:04:00Z</dcterms:modified>
  <cp:category/>
</cp:coreProperties>
</file>