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4234F170" w14:textId="77777777" w:rsidTr="00980C86">
        <w:tc>
          <w:tcPr>
            <w:tcW w:w="1980" w:type="dxa"/>
          </w:tcPr>
          <w:p w14:paraId="1B3E9602"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4B0D8997" w14:textId="77777777" w:rsidR="004D468E" w:rsidRPr="004D468E" w:rsidRDefault="004D468E" w:rsidP="004D468E">
            <w:pPr>
              <w:numPr>
                <w:ilvl w:val="0"/>
                <w:numId w:val="3"/>
              </w:numPr>
              <w:spacing w:before="120" w:after="120"/>
              <w:ind w:right="162"/>
              <w:jc w:val="both"/>
              <w:rPr>
                <w:rFonts w:ascii="Calibri" w:hAnsi="Calibri" w:cs="Tahoma"/>
                <w:lang w:val="en-IN"/>
              </w:rPr>
            </w:pPr>
            <w:r w:rsidRPr="004D468E">
              <w:rPr>
                <w:rFonts w:ascii="Calibri" w:hAnsi="Calibri" w:cs="Tahoma"/>
                <w:lang w:val="en-IN"/>
              </w:rPr>
              <w:t xml:space="preserve">SMSA attaches great importance to Information Security and intends to develop and implement a systematic approach to Information Security in the organization in a timely and cost-effective manner based on the global standard </w:t>
            </w:r>
          </w:p>
          <w:p w14:paraId="61644EE7" w14:textId="77777777" w:rsidR="004D468E" w:rsidRPr="004D468E" w:rsidRDefault="004D468E" w:rsidP="004D468E">
            <w:pPr>
              <w:numPr>
                <w:ilvl w:val="0"/>
                <w:numId w:val="3"/>
              </w:numPr>
              <w:spacing w:before="120" w:after="120"/>
              <w:ind w:right="162"/>
              <w:jc w:val="both"/>
              <w:rPr>
                <w:rFonts w:ascii="Calibri" w:hAnsi="Calibri" w:cs="Tahoma"/>
                <w:lang w:val="en-IN"/>
              </w:rPr>
            </w:pPr>
            <w:r w:rsidRPr="004D468E">
              <w:rPr>
                <w:rFonts w:ascii="Calibri" w:hAnsi="Calibri" w:cs="Tahoma"/>
                <w:lang w:val="en-IN"/>
              </w:rPr>
              <w:t xml:space="preserve">ISO 27001:2013.SMSA vision is to enhance the IT security through a strong process driven approach which are supported with necessary policies and procedures based on industry best practices and control requirements recommended by ISO 27001:2013. </w:t>
            </w:r>
          </w:p>
          <w:p w14:paraId="6033E715" w14:textId="77777777" w:rsidR="003050B7" w:rsidRPr="004D468E" w:rsidRDefault="004D468E" w:rsidP="004D468E">
            <w:pPr>
              <w:numPr>
                <w:ilvl w:val="0"/>
                <w:numId w:val="3"/>
              </w:numPr>
              <w:spacing w:before="120" w:after="120"/>
              <w:ind w:right="162"/>
              <w:jc w:val="both"/>
              <w:rPr>
                <w:rFonts w:ascii="Calibri" w:hAnsi="Calibri" w:cs="Tahoma"/>
                <w:lang w:val="en-IN"/>
              </w:rPr>
            </w:pPr>
            <w:r w:rsidRPr="004D468E">
              <w:rPr>
                <w:rFonts w:ascii="Calibri" w:hAnsi="Calibri" w:cs="Tahoma"/>
                <w:lang w:val="en-IN"/>
              </w:rPr>
              <w:t>The purpose of this document is to set SMSA Information Security Management System (ISMS) scope.</w:t>
            </w:r>
          </w:p>
        </w:tc>
      </w:tr>
      <w:tr w:rsidR="00A30946" w:rsidRPr="002928E9" w14:paraId="6E8CAE22" w14:textId="77777777" w:rsidTr="00980C86">
        <w:tc>
          <w:tcPr>
            <w:tcW w:w="1980" w:type="dxa"/>
          </w:tcPr>
          <w:p w14:paraId="041F233E" w14:textId="77777777" w:rsidR="00A30946" w:rsidRDefault="00A30946" w:rsidP="003050B7">
            <w:pPr>
              <w:spacing w:before="120" w:after="120"/>
              <w:rPr>
                <w:rFonts w:ascii="Calibri" w:hAnsi="Calibri"/>
                <w:b/>
                <w:bCs/>
              </w:rPr>
            </w:pPr>
            <w:r>
              <w:rPr>
                <w:rFonts w:ascii="Calibri" w:hAnsi="Calibri"/>
                <w:b/>
                <w:bCs/>
              </w:rPr>
              <w:t>Scope</w:t>
            </w:r>
          </w:p>
        </w:tc>
        <w:tc>
          <w:tcPr>
            <w:tcW w:w="8640" w:type="dxa"/>
          </w:tcPr>
          <w:p w14:paraId="3997B4ED" w14:textId="77777777" w:rsidR="004D468E" w:rsidRPr="004D468E" w:rsidRDefault="004D468E" w:rsidP="004D468E">
            <w:pPr>
              <w:spacing w:before="120" w:after="120"/>
              <w:ind w:right="162"/>
              <w:jc w:val="both"/>
              <w:rPr>
                <w:rFonts w:ascii="Calibri" w:hAnsi="Calibri" w:cs="Tahoma"/>
                <w:b/>
                <w:u w:val="single"/>
              </w:rPr>
            </w:pPr>
            <w:bookmarkStart w:id="0" w:name="_Toc531515478"/>
            <w:bookmarkStart w:id="1" w:name="_Toc25144367"/>
            <w:bookmarkStart w:id="2" w:name="_Toc75560901"/>
            <w:r w:rsidRPr="004D468E">
              <w:rPr>
                <w:rFonts w:ascii="Calibri" w:hAnsi="Calibri" w:cs="Tahoma"/>
                <w:b/>
                <w:u w:val="single"/>
              </w:rPr>
              <w:t>1. Scope of SMSA ISMS</w:t>
            </w:r>
          </w:p>
          <w:p w14:paraId="0C04B2CE" w14:textId="77777777" w:rsidR="004D468E" w:rsidRPr="004D468E" w:rsidRDefault="004D468E" w:rsidP="004D468E">
            <w:pPr>
              <w:spacing w:before="120" w:after="120"/>
              <w:ind w:right="162"/>
              <w:jc w:val="both"/>
              <w:rPr>
                <w:rFonts w:ascii="Calibri" w:hAnsi="Calibri" w:cs="Tahoma"/>
                <w:b/>
              </w:rPr>
            </w:pPr>
            <w:r>
              <w:rPr>
                <w:rFonts w:ascii="Calibri" w:hAnsi="Calibri" w:cs="Tahoma"/>
                <w:b/>
              </w:rPr>
              <w:t>1.1 Scope</w:t>
            </w:r>
            <w:r w:rsidRPr="004D468E">
              <w:rPr>
                <w:rFonts w:ascii="Calibri" w:hAnsi="Calibri" w:cs="Tahoma"/>
                <w:b/>
              </w:rPr>
              <w:t xml:space="preserve"> Statement</w:t>
            </w:r>
            <w:bookmarkEnd w:id="0"/>
            <w:bookmarkEnd w:id="1"/>
            <w:bookmarkEnd w:id="2"/>
          </w:p>
          <w:p w14:paraId="2B4C3FFC" w14:textId="77777777" w:rsidR="004D468E" w:rsidRPr="002B5E48" w:rsidRDefault="004D468E" w:rsidP="002B5E48">
            <w:pPr>
              <w:pStyle w:val="ListParagraph"/>
              <w:numPr>
                <w:ilvl w:val="0"/>
                <w:numId w:val="29"/>
              </w:numPr>
              <w:spacing w:before="120" w:after="120"/>
              <w:ind w:right="162"/>
              <w:jc w:val="both"/>
              <w:rPr>
                <w:rFonts w:ascii="Calibri" w:hAnsi="Calibri" w:cs="Tahoma"/>
                <w:bCs/>
                <w:lang w:val="en-GB"/>
              </w:rPr>
            </w:pPr>
            <w:r w:rsidRPr="002B5E48">
              <w:rPr>
                <w:rFonts w:ascii="Calibri" w:hAnsi="Calibri" w:cs="Tahoma"/>
                <w:bCs/>
                <w:lang w:val="en-GB"/>
              </w:rPr>
              <w:t>Our Information Security Management System (ISMS) applies to the control of our entire business, premises and resources within the Head office Located inside SMSA main site at Al-Dabab Street, Riyadh, KSA.</w:t>
            </w:r>
            <w:r w:rsidR="002B5E48" w:rsidRPr="002B5E48">
              <w:rPr>
                <w:rFonts w:ascii="Calibri" w:hAnsi="Calibri" w:cs="Tahoma"/>
                <w:bCs/>
                <w:lang w:val="en-GB"/>
              </w:rPr>
              <w:t xml:space="preserve"> </w:t>
            </w:r>
            <w:r w:rsidRPr="002B5E48">
              <w:rPr>
                <w:rFonts w:ascii="Calibri" w:hAnsi="Calibri" w:cs="Tahoma"/>
                <w:bCs/>
                <w:lang w:val="en-GB"/>
              </w:rPr>
              <w:t xml:space="preserve">Premises and resources out of the Head office are excluded from the ISMS scope. </w:t>
            </w:r>
          </w:p>
          <w:p w14:paraId="273F7466" w14:textId="77777777" w:rsidR="004D468E" w:rsidRPr="002B5E48" w:rsidRDefault="004D468E" w:rsidP="002B5E48">
            <w:pPr>
              <w:pStyle w:val="ListParagraph"/>
              <w:numPr>
                <w:ilvl w:val="0"/>
                <w:numId w:val="29"/>
              </w:numPr>
              <w:spacing w:before="120" w:after="120"/>
              <w:ind w:right="162"/>
              <w:jc w:val="both"/>
              <w:rPr>
                <w:rFonts w:ascii="Calibri" w:hAnsi="Calibri" w:cs="Tahoma"/>
                <w:bCs/>
                <w:lang w:val="en-GB"/>
              </w:rPr>
            </w:pPr>
            <w:r w:rsidRPr="002B5E48">
              <w:rPr>
                <w:rFonts w:ascii="Calibri" w:hAnsi="Calibri" w:cs="Tahoma"/>
                <w:bCs/>
                <w:lang w:val="en-GB"/>
              </w:rPr>
              <w:t>Our ISMS is scoped to include all business processes conducted by the IT department at SMSA Express. All other business units are excluded from scope</w:t>
            </w:r>
          </w:p>
          <w:p w14:paraId="48613C54" w14:textId="77777777" w:rsidR="004D468E" w:rsidRPr="002B5E48" w:rsidRDefault="004D468E" w:rsidP="002B5E48">
            <w:pPr>
              <w:pStyle w:val="ListParagraph"/>
              <w:numPr>
                <w:ilvl w:val="0"/>
                <w:numId w:val="29"/>
              </w:numPr>
              <w:spacing w:before="120" w:after="120"/>
              <w:ind w:right="162"/>
              <w:jc w:val="both"/>
              <w:rPr>
                <w:rFonts w:ascii="Calibri" w:hAnsi="Calibri" w:cs="Tahoma"/>
                <w:bCs/>
                <w:lang w:val="en-GB"/>
              </w:rPr>
            </w:pPr>
            <w:r w:rsidRPr="002B5E48">
              <w:rPr>
                <w:rFonts w:ascii="Calibri" w:hAnsi="Calibri" w:cs="Tahoma"/>
                <w:bCs/>
                <w:lang w:val="en-GB"/>
              </w:rPr>
              <w:t>All Information Asset will be covered within the Scope.</w:t>
            </w:r>
          </w:p>
          <w:p w14:paraId="55544319" w14:textId="77777777" w:rsidR="004D468E" w:rsidRPr="002B5E48" w:rsidRDefault="004D468E" w:rsidP="002B5E48">
            <w:pPr>
              <w:pStyle w:val="ListParagraph"/>
              <w:numPr>
                <w:ilvl w:val="0"/>
                <w:numId w:val="29"/>
              </w:numPr>
              <w:spacing w:before="120" w:after="120"/>
              <w:ind w:right="162"/>
              <w:jc w:val="both"/>
              <w:rPr>
                <w:rFonts w:ascii="Calibri" w:hAnsi="Calibri" w:cs="Tahoma"/>
                <w:bCs/>
                <w:lang w:val="en-GB"/>
              </w:rPr>
            </w:pPr>
            <w:r w:rsidRPr="002B5E48">
              <w:rPr>
                <w:rFonts w:ascii="Calibri" w:hAnsi="Calibri" w:cs="Tahoma"/>
                <w:bCs/>
                <w:lang w:val="en-GB"/>
              </w:rPr>
              <w:t>This includes IT Assets, located at the same site to Protect All SMSA intellectual</w:t>
            </w:r>
            <w:r w:rsidR="002B5E48">
              <w:rPr>
                <w:rFonts w:ascii="Calibri" w:hAnsi="Calibri" w:cs="Tahoma"/>
                <w:bCs/>
                <w:lang w:val="en-GB"/>
              </w:rPr>
              <w:t xml:space="preserve"> prop</w:t>
            </w:r>
            <w:r w:rsidR="002B5E48" w:rsidRPr="002B5E48">
              <w:rPr>
                <w:rFonts w:ascii="Calibri" w:hAnsi="Calibri" w:cs="Tahoma"/>
                <w:bCs/>
                <w:lang w:val="en-GB"/>
              </w:rPr>
              <w:t>erties</w:t>
            </w:r>
            <w:r w:rsidRPr="002B5E48">
              <w:rPr>
                <w:rFonts w:ascii="Calibri" w:hAnsi="Calibri" w:cs="Tahoma"/>
                <w:bCs/>
                <w:lang w:val="en-GB"/>
              </w:rPr>
              <w:t>.</w:t>
            </w:r>
          </w:p>
          <w:p w14:paraId="1C9EF518" w14:textId="77777777" w:rsidR="004D468E" w:rsidRPr="002B5E48" w:rsidRDefault="004D468E" w:rsidP="002B5E48">
            <w:pPr>
              <w:pStyle w:val="ListParagraph"/>
              <w:numPr>
                <w:ilvl w:val="0"/>
                <w:numId w:val="29"/>
              </w:numPr>
              <w:spacing w:before="120" w:after="120"/>
              <w:ind w:right="162"/>
              <w:jc w:val="both"/>
              <w:rPr>
                <w:rFonts w:ascii="Calibri" w:hAnsi="Calibri" w:cs="Tahoma"/>
                <w:bCs/>
                <w:lang w:val="en-GB"/>
              </w:rPr>
            </w:pPr>
            <w:r w:rsidRPr="002B5E48">
              <w:rPr>
                <w:rFonts w:ascii="Calibri" w:hAnsi="Calibri" w:cs="Tahoma"/>
                <w:bCs/>
                <w:lang w:val="en-GB"/>
              </w:rPr>
              <w:t>One Data</w:t>
            </w:r>
            <w:r w:rsidR="002B5E48" w:rsidRPr="002B5E48">
              <w:rPr>
                <w:rFonts w:ascii="Calibri" w:hAnsi="Calibri" w:cs="Tahoma"/>
                <w:bCs/>
                <w:lang w:val="en-GB"/>
              </w:rPr>
              <w:t xml:space="preserve"> </w:t>
            </w:r>
            <w:r w:rsidRPr="002B5E48">
              <w:rPr>
                <w:rFonts w:ascii="Calibri" w:hAnsi="Calibri" w:cs="Tahoma"/>
                <w:bCs/>
                <w:lang w:val="en-GB"/>
              </w:rPr>
              <w:t xml:space="preserve">centre will be included and located at the same site. </w:t>
            </w:r>
          </w:p>
          <w:p w14:paraId="192D597C" w14:textId="77777777" w:rsidR="004D468E" w:rsidRPr="002B5E48" w:rsidRDefault="004D468E" w:rsidP="002B5E48">
            <w:pPr>
              <w:pStyle w:val="ListParagraph"/>
              <w:numPr>
                <w:ilvl w:val="0"/>
                <w:numId w:val="29"/>
              </w:numPr>
              <w:spacing w:before="120" w:after="120"/>
              <w:ind w:right="162"/>
              <w:jc w:val="both"/>
              <w:rPr>
                <w:rFonts w:ascii="Calibri" w:hAnsi="Calibri" w:cs="Tahoma"/>
                <w:bCs/>
                <w:lang w:val="en-GB"/>
              </w:rPr>
            </w:pPr>
            <w:r w:rsidRPr="002B5E48">
              <w:rPr>
                <w:rFonts w:ascii="Calibri" w:hAnsi="Calibri" w:cs="Tahoma"/>
                <w:bCs/>
                <w:lang w:val="en-GB"/>
              </w:rPr>
              <w:t xml:space="preserve">Our ISMS will protect the confidentiality, integrity and availability of SMSA Express customer data at all times while in KSA offices. This includes IT department, and SMSA Express Head office.  </w:t>
            </w:r>
          </w:p>
          <w:p w14:paraId="7BCEB3A0" w14:textId="77777777" w:rsidR="004D468E" w:rsidRPr="002B5E48" w:rsidRDefault="004D468E" w:rsidP="002B5E48">
            <w:pPr>
              <w:pStyle w:val="ListParagraph"/>
              <w:numPr>
                <w:ilvl w:val="0"/>
                <w:numId w:val="29"/>
              </w:numPr>
              <w:spacing w:before="120" w:after="120"/>
              <w:ind w:right="162"/>
              <w:jc w:val="both"/>
              <w:rPr>
                <w:rFonts w:ascii="Calibri" w:hAnsi="Calibri" w:cs="Tahoma"/>
                <w:bCs/>
                <w:lang w:val="en-GB"/>
              </w:rPr>
            </w:pPr>
            <w:r w:rsidRPr="002B5E48">
              <w:rPr>
                <w:rFonts w:ascii="Calibri" w:hAnsi="Calibri" w:cs="Tahoma"/>
                <w:bCs/>
                <w:lang w:val="en-GB"/>
              </w:rPr>
              <w:t>This integrated management system has been organized to comply with the following International Standard:</w:t>
            </w:r>
          </w:p>
          <w:p w14:paraId="43CDE933"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ISO 9001: 2015.</w:t>
            </w:r>
          </w:p>
          <w:p w14:paraId="4D782EE8"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ISO 27001:2013</w:t>
            </w:r>
          </w:p>
          <w:p w14:paraId="16AC4AE8" w14:textId="77777777" w:rsidR="004D468E" w:rsidRPr="004D468E" w:rsidRDefault="002B5E48" w:rsidP="002B5E48">
            <w:pPr>
              <w:spacing w:before="120" w:after="120"/>
              <w:ind w:right="162"/>
              <w:jc w:val="both"/>
              <w:rPr>
                <w:rFonts w:ascii="Calibri" w:hAnsi="Calibri" w:cs="Tahoma"/>
                <w:b/>
              </w:rPr>
            </w:pPr>
            <w:bookmarkStart w:id="3" w:name="_Toc531515479"/>
            <w:bookmarkStart w:id="4" w:name="_Toc25144368"/>
            <w:bookmarkStart w:id="5" w:name="_Toc75560902"/>
            <w:r w:rsidRPr="002B5E48">
              <w:rPr>
                <w:rFonts w:ascii="Calibri" w:hAnsi="Calibri" w:cs="Tahoma"/>
                <w:b/>
              </w:rPr>
              <w:t xml:space="preserve">1.2 </w:t>
            </w:r>
            <w:r w:rsidR="004D468E" w:rsidRPr="004D468E">
              <w:rPr>
                <w:rFonts w:ascii="Calibri" w:hAnsi="Calibri" w:cs="Tahoma"/>
                <w:b/>
              </w:rPr>
              <w:t>Locations in Scope</w:t>
            </w:r>
            <w:bookmarkEnd w:id="3"/>
            <w:bookmarkEnd w:id="4"/>
            <w:bookmarkEnd w:id="5"/>
          </w:p>
          <w:p w14:paraId="6AC26AD7" w14:textId="77777777" w:rsidR="004D468E" w:rsidRPr="002B5E48" w:rsidRDefault="004D468E" w:rsidP="002B5E48">
            <w:pPr>
              <w:pStyle w:val="ListParagraph"/>
              <w:numPr>
                <w:ilvl w:val="0"/>
                <w:numId w:val="32"/>
              </w:numPr>
              <w:spacing w:before="120" w:after="120"/>
              <w:ind w:right="162"/>
              <w:jc w:val="both"/>
              <w:rPr>
                <w:rFonts w:ascii="Calibri" w:hAnsi="Calibri" w:cs="Tahoma"/>
                <w:bCs/>
                <w:lang w:val="en-GB"/>
              </w:rPr>
            </w:pPr>
            <w:r w:rsidRPr="002B5E48">
              <w:rPr>
                <w:rFonts w:ascii="Calibri" w:hAnsi="Calibri" w:cs="Tahoma"/>
                <w:bCs/>
                <w:lang w:val="en-GB"/>
              </w:rPr>
              <w:t>SMSA IT Department, Head Office, Riyadh, Saudi Arabia.</w:t>
            </w:r>
          </w:p>
          <w:p w14:paraId="3F899BAA" w14:textId="77777777" w:rsidR="004D468E" w:rsidRPr="004D468E" w:rsidRDefault="002B5E48" w:rsidP="002B5E48">
            <w:pPr>
              <w:spacing w:before="120" w:after="120"/>
              <w:ind w:right="162"/>
              <w:jc w:val="both"/>
              <w:rPr>
                <w:rFonts w:ascii="Calibri" w:hAnsi="Calibri" w:cs="Tahoma"/>
                <w:b/>
              </w:rPr>
            </w:pPr>
            <w:bookmarkStart w:id="6" w:name="_Toc531515480"/>
            <w:bookmarkStart w:id="7" w:name="_Toc25144369"/>
            <w:bookmarkStart w:id="8" w:name="_Toc75560903"/>
            <w:r>
              <w:rPr>
                <w:rFonts w:ascii="Calibri" w:hAnsi="Calibri" w:cs="Tahoma"/>
                <w:b/>
              </w:rPr>
              <w:t xml:space="preserve">1.3 </w:t>
            </w:r>
            <w:r w:rsidR="004D468E" w:rsidRPr="004D468E">
              <w:rPr>
                <w:rFonts w:ascii="Calibri" w:hAnsi="Calibri" w:cs="Tahoma"/>
                <w:b/>
              </w:rPr>
              <w:t>Information Assets in Scope</w:t>
            </w:r>
            <w:bookmarkEnd w:id="6"/>
            <w:bookmarkEnd w:id="7"/>
            <w:bookmarkEnd w:id="8"/>
          </w:p>
          <w:p w14:paraId="1D258F45" w14:textId="77777777" w:rsidR="004D468E" w:rsidRPr="004D468E" w:rsidRDefault="004D468E" w:rsidP="002B5E48">
            <w:pPr>
              <w:pStyle w:val="ListParagraph"/>
              <w:numPr>
                <w:ilvl w:val="0"/>
                <w:numId w:val="29"/>
              </w:numPr>
              <w:spacing w:before="120" w:after="120"/>
              <w:ind w:right="162"/>
              <w:jc w:val="both"/>
              <w:rPr>
                <w:rFonts w:ascii="Calibri" w:hAnsi="Calibri" w:cs="Tahoma"/>
                <w:bCs/>
                <w:lang w:val="en-GB"/>
              </w:rPr>
            </w:pPr>
            <w:r w:rsidRPr="004D468E">
              <w:rPr>
                <w:rFonts w:ascii="Calibri" w:hAnsi="Calibri" w:cs="Tahoma"/>
                <w:bCs/>
                <w:lang w:val="en-GB"/>
              </w:rPr>
              <w:t>Information assets hosted at IT department at the location mentioned in Section above are covered under the scope of ISMS:</w:t>
            </w:r>
          </w:p>
          <w:p w14:paraId="44F5FA9F"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 xml:space="preserve">Information Assets </w:t>
            </w:r>
          </w:p>
          <w:p w14:paraId="2B9C7437"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People Assets</w:t>
            </w:r>
          </w:p>
          <w:p w14:paraId="2C231C47"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 xml:space="preserve">Physical Assets </w:t>
            </w:r>
          </w:p>
          <w:p w14:paraId="5A008F68"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 xml:space="preserve">Service Assets </w:t>
            </w:r>
          </w:p>
          <w:p w14:paraId="628A6AC9"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Software Assets</w:t>
            </w:r>
          </w:p>
          <w:p w14:paraId="732F9156"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SMSA intellectual properties.</w:t>
            </w:r>
          </w:p>
          <w:p w14:paraId="02E774CD" w14:textId="77777777" w:rsidR="004D468E" w:rsidRPr="004D468E" w:rsidRDefault="002B5E48" w:rsidP="002B5E48">
            <w:pPr>
              <w:spacing w:before="120" w:after="120"/>
              <w:ind w:right="162"/>
              <w:jc w:val="both"/>
              <w:rPr>
                <w:rFonts w:ascii="Calibri" w:hAnsi="Calibri" w:cs="Tahoma"/>
                <w:b/>
              </w:rPr>
            </w:pPr>
            <w:bookmarkStart w:id="9" w:name="_Toc531515481"/>
            <w:bookmarkStart w:id="10" w:name="_Toc25144370"/>
            <w:bookmarkStart w:id="11" w:name="_Toc75560904"/>
            <w:r>
              <w:rPr>
                <w:rFonts w:ascii="Calibri" w:hAnsi="Calibri" w:cs="Tahoma"/>
                <w:b/>
              </w:rPr>
              <w:lastRenderedPageBreak/>
              <w:t xml:space="preserve">1.4 </w:t>
            </w:r>
            <w:r w:rsidR="004D468E" w:rsidRPr="004D468E">
              <w:rPr>
                <w:rFonts w:ascii="Calibri" w:hAnsi="Calibri" w:cs="Tahoma"/>
                <w:b/>
              </w:rPr>
              <w:t>Business Functions/Departments/Teams in Scope</w:t>
            </w:r>
            <w:bookmarkEnd w:id="9"/>
            <w:bookmarkEnd w:id="10"/>
            <w:bookmarkEnd w:id="11"/>
          </w:p>
          <w:p w14:paraId="047886F6" w14:textId="77777777" w:rsidR="004D468E" w:rsidRPr="004D468E" w:rsidRDefault="004D468E" w:rsidP="002B5E48">
            <w:pPr>
              <w:pStyle w:val="ListParagraph"/>
              <w:numPr>
                <w:ilvl w:val="0"/>
                <w:numId w:val="29"/>
              </w:numPr>
              <w:spacing w:before="120" w:after="120"/>
              <w:ind w:right="162"/>
              <w:jc w:val="both"/>
              <w:rPr>
                <w:rFonts w:ascii="Calibri" w:hAnsi="Calibri" w:cs="Tahoma"/>
                <w:bCs/>
                <w:lang w:val="en-GB"/>
              </w:rPr>
            </w:pPr>
            <w:r w:rsidRPr="004D468E">
              <w:rPr>
                <w:rFonts w:ascii="Calibri" w:hAnsi="Calibri" w:cs="Tahoma"/>
                <w:bCs/>
                <w:lang w:val="en-GB"/>
              </w:rPr>
              <w:t xml:space="preserve">The Information Security Management System of SMSA applies to IT Operations comprising of the following: </w:t>
            </w:r>
          </w:p>
          <w:p w14:paraId="1EDE3E79"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Systems</w:t>
            </w:r>
          </w:p>
          <w:p w14:paraId="4F0F6DC8"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Networks</w:t>
            </w:r>
          </w:p>
          <w:p w14:paraId="1DF36757"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 xml:space="preserve">Communications </w:t>
            </w:r>
          </w:p>
          <w:p w14:paraId="1DD02FF3"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Applications</w:t>
            </w:r>
          </w:p>
          <w:p w14:paraId="56CC51B8"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Databases</w:t>
            </w:r>
          </w:p>
          <w:p w14:paraId="7767F4E1"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 xml:space="preserve">Information Security </w:t>
            </w:r>
          </w:p>
          <w:p w14:paraId="6A2A514C"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 xml:space="preserve">IT Assets </w:t>
            </w:r>
          </w:p>
          <w:p w14:paraId="747DD0A9" w14:textId="77777777" w:rsidR="004D468E" w:rsidRPr="004D468E" w:rsidRDefault="002B5E48" w:rsidP="002B5E48">
            <w:pPr>
              <w:spacing w:before="120" w:after="120"/>
              <w:ind w:right="162"/>
              <w:jc w:val="both"/>
              <w:rPr>
                <w:rFonts w:ascii="Calibri" w:hAnsi="Calibri" w:cs="Tahoma"/>
                <w:b/>
              </w:rPr>
            </w:pPr>
            <w:bookmarkStart w:id="12" w:name="_Toc531515482"/>
            <w:bookmarkStart w:id="13" w:name="_Toc25144371"/>
            <w:bookmarkStart w:id="14" w:name="_Toc75560905"/>
            <w:r w:rsidRPr="002B5E48">
              <w:rPr>
                <w:rFonts w:ascii="Calibri" w:hAnsi="Calibri" w:cs="Tahoma"/>
                <w:b/>
              </w:rPr>
              <w:t xml:space="preserve">1.5 </w:t>
            </w:r>
            <w:r w:rsidR="004D468E" w:rsidRPr="004D468E">
              <w:rPr>
                <w:rFonts w:ascii="Calibri" w:hAnsi="Calibri" w:cs="Tahoma"/>
                <w:b/>
              </w:rPr>
              <w:t>Interfaces and Dependencies to ISMS Scope</w:t>
            </w:r>
            <w:bookmarkEnd w:id="12"/>
            <w:bookmarkEnd w:id="13"/>
            <w:bookmarkEnd w:id="14"/>
          </w:p>
          <w:p w14:paraId="19BACD7F" w14:textId="77777777" w:rsidR="004D468E" w:rsidRPr="004D468E" w:rsidRDefault="004D468E" w:rsidP="002B5E48">
            <w:pPr>
              <w:pStyle w:val="ListParagraph"/>
              <w:numPr>
                <w:ilvl w:val="0"/>
                <w:numId w:val="29"/>
              </w:numPr>
              <w:spacing w:before="120" w:after="120"/>
              <w:ind w:right="162"/>
              <w:jc w:val="both"/>
              <w:rPr>
                <w:rFonts w:ascii="Calibri" w:hAnsi="Calibri" w:cs="Tahoma"/>
                <w:bCs/>
                <w:lang w:val="en-GB"/>
              </w:rPr>
            </w:pPr>
            <w:r w:rsidRPr="004D468E">
              <w:rPr>
                <w:rFonts w:ascii="Calibri" w:hAnsi="Calibri" w:cs="Tahoma"/>
                <w:bCs/>
                <w:lang w:val="en-GB"/>
              </w:rPr>
              <w:t>Business functions / departments / teams which are not defined: external organizations, vendors/suppliers, contracted companies, regulators and customers are outside the scope of ISMS; however, some of the services that may have an impact on the security and functioning of SMSA’s ISMS need to be protected as part of the ISMS scope. Interfaces and dependencies to SMSA’s ISMS scope are:</w:t>
            </w:r>
          </w:p>
          <w:p w14:paraId="2E6A3C68"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Administration (including Physical Security)</w:t>
            </w:r>
          </w:p>
          <w:p w14:paraId="3C9C2F42"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 xml:space="preserve">Human Resources </w:t>
            </w:r>
          </w:p>
          <w:p w14:paraId="4ECDC9C6"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 xml:space="preserve">Legal &amp; Compliance </w:t>
            </w:r>
          </w:p>
          <w:p w14:paraId="47C27FC1"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External Vendors (Third-parties/Suppliers)</w:t>
            </w:r>
          </w:p>
          <w:p w14:paraId="0BABEC41" w14:textId="77777777" w:rsidR="004D468E" w:rsidRPr="004D468E" w:rsidRDefault="002B5E48" w:rsidP="002B5E48">
            <w:pPr>
              <w:spacing w:before="120" w:after="120"/>
              <w:ind w:right="162"/>
              <w:jc w:val="both"/>
              <w:rPr>
                <w:rFonts w:ascii="Calibri" w:hAnsi="Calibri" w:cs="Tahoma"/>
                <w:b/>
              </w:rPr>
            </w:pPr>
            <w:bookmarkStart w:id="15" w:name="_Toc531515483"/>
            <w:bookmarkStart w:id="16" w:name="_Toc25144372"/>
            <w:bookmarkStart w:id="17" w:name="_Toc75560906"/>
            <w:r w:rsidRPr="002B5E48">
              <w:rPr>
                <w:rFonts w:ascii="Calibri" w:hAnsi="Calibri" w:cs="Tahoma"/>
                <w:b/>
              </w:rPr>
              <w:t xml:space="preserve">1.6 </w:t>
            </w:r>
            <w:r w:rsidR="004D468E" w:rsidRPr="004D468E">
              <w:rPr>
                <w:rFonts w:ascii="Calibri" w:hAnsi="Calibri" w:cs="Tahoma"/>
                <w:b/>
              </w:rPr>
              <w:t>Exclusions from the Scope</w:t>
            </w:r>
            <w:bookmarkEnd w:id="15"/>
            <w:bookmarkEnd w:id="16"/>
            <w:bookmarkEnd w:id="17"/>
          </w:p>
          <w:p w14:paraId="5D93249F"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Areas excluded from scope are given below:</w:t>
            </w:r>
          </w:p>
          <w:p w14:paraId="70F0CBA3"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All other activities outside the scope of IT Department and including IT Assets outside the mentioned location.</w:t>
            </w:r>
          </w:p>
          <w:p w14:paraId="60C13149" w14:textId="77777777" w:rsidR="00A30946" w:rsidRPr="002B5E48" w:rsidRDefault="004D468E" w:rsidP="002B5E48">
            <w:pPr>
              <w:pStyle w:val="ListParagraph"/>
              <w:numPr>
                <w:ilvl w:val="0"/>
                <w:numId w:val="31"/>
              </w:numPr>
              <w:spacing w:before="120" w:after="120"/>
              <w:ind w:right="162"/>
              <w:jc w:val="both"/>
              <w:rPr>
                <w:rStyle w:val="Strong"/>
                <w:rFonts w:ascii="Calibri" w:hAnsi="Calibri" w:cs="Tahoma"/>
                <w:b w:val="0"/>
                <w:bCs w:val="0"/>
              </w:rPr>
            </w:pPr>
            <w:r w:rsidRPr="002B5E48">
              <w:rPr>
                <w:rFonts w:ascii="Calibri" w:hAnsi="Calibri" w:cs="Tahoma"/>
              </w:rPr>
              <w:t>All SMSA locations not mentioned above</w:t>
            </w:r>
          </w:p>
        </w:tc>
      </w:tr>
    </w:tbl>
    <w:p w14:paraId="26014EC8" w14:textId="77777777" w:rsidR="00B50A6C" w:rsidRDefault="00B50A6C"/>
    <w:sectPr w:rsidR="00B50A6C" w:rsidSect="00C844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C3E5" w14:textId="77777777" w:rsidR="005960AB" w:rsidRDefault="005960AB" w:rsidP="003050B7">
      <w:pPr>
        <w:spacing w:after="0"/>
      </w:pPr>
      <w:r>
        <w:separator/>
      </w:r>
    </w:p>
  </w:endnote>
  <w:endnote w:type="continuationSeparator" w:id="0">
    <w:p w14:paraId="352C52E5" w14:textId="77777777" w:rsidR="005960AB" w:rsidRDefault="005960AB"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372D" w14:textId="77777777" w:rsidR="004477B5" w:rsidRDefault="00447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3000F" w14:textId="6A72061F" w:rsidR="00000000" w:rsidRPr="00B93592" w:rsidRDefault="00B93592" w:rsidP="00AB67E6">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B36FF8"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B36FF8" w:rsidRPr="00B93592">
      <w:rPr>
        <w:rFonts w:asciiTheme="minorHAnsi" w:hAnsiTheme="minorHAnsi" w:cstheme="minorHAnsi"/>
        <w:b/>
        <w:sz w:val="20"/>
        <w:szCs w:val="20"/>
      </w:rPr>
      <w:fldChar w:fldCharType="separate"/>
    </w:r>
    <w:r w:rsidR="00AB67E6">
      <w:rPr>
        <w:rFonts w:asciiTheme="minorHAnsi" w:hAnsiTheme="minorHAnsi" w:cstheme="minorHAnsi"/>
        <w:b/>
        <w:noProof/>
        <w:sz w:val="20"/>
        <w:szCs w:val="20"/>
      </w:rPr>
      <w:t>1</w:t>
    </w:r>
    <w:r w:rsidR="00B36FF8"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B36FF8"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B36FF8" w:rsidRPr="00B93592">
      <w:rPr>
        <w:rFonts w:asciiTheme="minorHAnsi" w:hAnsiTheme="minorHAnsi" w:cstheme="minorHAnsi"/>
        <w:b/>
        <w:sz w:val="20"/>
        <w:szCs w:val="20"/>
      </w:rPr>
      <w:fldChar w:fldCharType="separate"/>
    </w:r>
    <w:r w:rsidR="00AB67E6">
      <w:rPr>
        <w:rFonts w:asciiTheme="minorHAnsi" w:hAnsiTheme="minorHAnsi" w:cstheme="minorHAnsi"/>
        <w:b/>
        <w:noProof/>
        <w:sz w:val="20"/>
        <w:szCs w:val="20"/>
      </w:rPr>
      <w:t>2</w:t>
    </w:r>
    <w:r w:rsidR="00B36FF8"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p>
  <w:p w14:paraId="083600CA" w14:textId="3361BDD0" w:rsidR="00B93592" w:rsidRPr="00B93592" w:rsidRDefault="007038E5" w:rsidP="00AB67E6">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8F46" w14:textId="77777777" w:rsidR="004477B5" w:rsidRDefault="00447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49C4B" w14:textId="77777777" w:rsidR="005960AB" w:rsidRDefault="005960AB" w:rsidP="003050B7">
      <w:pPr>
        <w:spacing w:after="0"/>
      </w:pPr>
      <w:r>
        <w:separator/>
      </w:r>
    </w:p>
  </w:footnote>
  <w:footnote w:type="continuationSeparator" w:id="0">
    <w:p w14:paraId="3F5A2DA0" w14:textId="77777777" w:rsidR="005960AB" w:rsidRDefault="005960AB"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9412" w14:textId="77777777" w:rsidR="004477B5" w:rsidRDefault="00447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0CAD7D4E" w14:textId="77777777" w:rsidTr="00980C86">
      <w:tc>
        <w:tcPr>
          <w:tcW w:w="4230" w:type="dxa"/>
        </w:tcPr>
        <w:p w14:paraId="02A55AF1" w14:textId="77777777" w:rsidR="00000000" w:rsidRPr="003069FB" w:rsidRDefault="00B93592" w:rsidP="003050B7">
          <w:pPr>
            <w:pStyle w:val="Header"/>
            <w:rPr>
              <w:b/>
              <w:noProof/>
              <w:sz w:val="28"/>
              <w:szCs w:val="28"/>
            </w:rPr>
          </w:pPr>
          <w:r>
            <w:rPr>
              <w:b/>
              <w:noProof/>
              <w:sz w:val="28"/>
              <w:szCs w:val="28"/>
            </w:rPr>
            <w:drawing>
              <wp:inline distT="0" distB="0" distL="0" distR="0" wp14:anchorId="5C8117BD" wp14:editId="5F78A073">
                <wp:extent cx="1349713" cy="342900"/>
                <wp:effectExtent l="19050" t="0" r="2837" b="0"/>
                <wp:docPr id="1" name="Picture 0"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a:srcRect b="38054"/>
                        <a:stretch>
                          <a:fillRect/>
                        </a:stretch>
                      </pic:blipFill>
                      <pic:spPr>
                        <a:xfrm>
                          <a:off x="0" y="0"/>
                          <a:ext cx="1351983" cy="343477"/>
                        </a:xfrm>
                        <a:prstGeom prst="rect">
                          <a:avLst/>
                        </a:prstGeom>
                      </pic:spPr>
                    </pic:pic>
                  </a:graphicData>
                </a:graphic>
              </wp:inline>
            </w:drawing>
          </w:r>
        </w:p>
      </w:tc>
      <w:tc>
        <w:tcPr>
          <w:tcW w:w="6390" w:type="dxa"/>
        </w:tcPr>
        <w:p w14:paraId="1C9E8E0B" w14:textId="77777777" w:rsidR="00000000" w:rsidRDefault="004D468E" w:rsidP="004D468E">
          <w:pPr>
            <w:pStyle w:val="Header"/>
            <w:jc w:val="right"/>
            <w:rPr>
              <w:rFonts w:ascii="Calibri" w:hAnsi="Calibri"/>
              <w:b/>
              <w:noProof/>
              <w:sz w:val="32"/>
            </w:rPr>
          </w:pPr>
          <w:r>
            <w:rPr>
              <w:rFonts w:ascii="Calibri" w:hAnsi="Calibri"/>
              <w:b/>
              <w:noProof/>
              <w:sz w:val="32"/>
            </w:rPr>
            <w:t>Scope of Information Security Management System</w:t>
          </w:r>
        </w:p>
        <w:p w14:paraId="09BC0236" w14:textId="77777777" w:rsidR="00000000"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C64A9D">
            <w:rPr>
              <w:rFonts w:ascii="Calibri" w:hAnsi="Calibri"/>
              <w:noProof/>
            </w:rPr>
            <w:t>ITD</w:t>
          </w:r>
        </w:p>
      </w:tc>
    </w:tr>
  </w:tbl>
  <w:p w14:paraId="76ACC8D6" w14:textId="77777777" w:rsidR="00000000" w:rsidRPr="00607DB0" w:rsidRDefault="00000000" w:rsidP="00B93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E6AC" w14:textId="77777777" w:rsidR="004477B5" w:rsidRDefault="00447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919"/>
    <w:multiLevelType w:val="hybridMultilevel"/>
    <w:tmpl w:val="74B8550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7351CD0"/>
    <w:multiLevelType w:val="hybridMultilevel"/>
    <w:tmpl w:val="0448B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BDE7D0C"/>
    <w:multiLevelType w:val="hybridMultilevel"/>
    <w:tmpl w:val="1E1EB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C266AD"/>
    <w:multiLevelType w:val="hybridMultilevel"/>
    <w:tmpl w:val="8D54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2F271E03"/>
    <w:multiLevelType w:val="hybridMultilevel"/>
    <w:tmpl w:val="3DF2F86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15:restartNumberingAfterBreak="0">
    <w:nsid w:val="35A40BF7"/>
    <w:multiLevelType w:val="hybridMultilevel"/>
    <w:tmpl w:val="8E1EAC16"/>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cs="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cs="Courier New" w:hint="default"/>
      </w:rPr>
    </w:lvl>
    <w:lvl w:ilvl="8" w:tplc="04090005">
      <w:start w:val="1"/>
      <w:numFmt w:val="bullet"/>
      <w:lvlText w:val=""/>
      <w:lvlJc w:val="left"/>
      <w:pPr>
        <w:ind w:left="7704" w:hanging="360"/>
      </w:pPr>
      <w:rPr>
        <w:rFonts w:ascii="Wingdings" w:hAnsi="Wingdings" w:hint="default"/>
      </w:rPr>
    </w:lvl>
  </w:abstractNum>
  <w:abstractNum w:abstractNumId="15"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212236"/>
    <w:multiLevelType w:val="hybridMultilevel"/>
    <w:tmpl w:val="54C476AC"/>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42F91599"/>
    <w:multiLevelType w:val="hybridMultilevel"/>
    <w:tmpl w:val="8DF4649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42A31ED"/>
    <w:multiLevelType w:val="hybridMultilevel"/>
    <w:tmpl w:val="216E0372"/>
    <w:lvl w:ilvl="0" w:tplc="82649F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6B0163"/>
    <w:multiLevelType w:val="hybridMultilevel"/>
    <w:tmpl w:val="E5DCBFD0"/>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1" w15:restartNumberingAfterBreak="0">
    <w:nsid w:val="4F715D98"/>
    <w:multiLevelType w:val="hybridMultilevel"/>
    <w:tmpl w:val="EFBE04A8"/>
    <w:lvl w:ilvl="0" w:tplc="04090015">
      <w:start w:val="1"/>
      <w:numFmt w:val="bullet"/>
      <w:lvlText w:val=""/>
      <w:lvlJc w:val="left"/>
      <w:pPr>
        <w:ind w:left="1944" w:hanging="360"/>
      </w:pPr>
      <w:rPr>
        <w:rFonts w:ascii="Symbol" w:hAnsi="Symbol" w:hint="default"/>
      </w:rPr>
    </w:lvl>
    <w:lvl w:ilvl="1" w:tplc="04090019">
      <w:start w:val="1"/>
      <w:numFmt w:val="bullet"/>
      <w:lvlText w:val=""/>
      <w:lvlJc w:val="left"/>
      <w:pPr>
        <w:ind w:left="2664" w:hanging="360"/>
      </w:pPr>
      <w:rPr>
        <w:rFonts w:ascii="Wingdings" w:hAnsi="Wingdings" w:hint="default"/>
      </w:rPr>
    </w:lvl>
    <w:lvl w:ilvl="2" w:tplc="0409001B" w:tentative="1">
      <w:start w:val="1"/>
      <w:numFmt w:val="bullet"/>
      <w:lvlText w:val=""/>
      <w:lvlJc w:val="left"/>
      <w:pPr>
        <w:ind w:left="3384" w:hanging="360"/>
      </w:pPr>
      <w:rPr>
        <w:rFonts w:ascii="Wingdings" w:hAnsi="Wingdings" w:hint="default"/>
      </w:rPr>
    </w:lvl>
    <w:lvl w:ilvl="3" w:tplc="0409000F" w:tentative="1">
      <w:start w:val="1"/>
      <w:numFmt w:val="bullet"/>
      <w:lvlText w:val=""/>
      <w:lvlJc w:val="left"/>
      <w:pPr>
        <w:ind w:left="4104" w:hanging="360"/>
      </w:pPr>
      <w:rPr>
        <w:rFonts w:ascii="Symbol" w:hAnsi="Symbol" w:hint="default"/>
      </w:rPr>
    </w:lvl>
    <w:lvl w:ilvl="4" w:tplc="04090019" w:tentative="1">
      <w:start w:val="1"/>
      <w:numFmt w:val="bullet"/>
      <w:lvlText w:val="o"/>
      <w:lvlJc w:val="left"/>
      <w:pPr>
        <w:ind w:left="4824" w:hanging="360"/>
      </w:pPr>
      <w:rPr>
        <w:rFonts w:ascii="Courier New" w:hAnsi="Courier New" w:cs="Courier New" w:hint="default"/>
      </w:rPr>
    </w:lvl>
    <w:lvl w:ilvl="5" w:tplc="0409001B" w:tentative="1">
      <w:start w:val="1"/>
      <w:numFmt w:val="bullet"/>
      <w:lvlText w:val=""/>
      <w:lvlJc w:val="left"/>
      <w:pPr>
        <w:ind w:left="5544" w:hanging="360"/>
      </w:pPr>
      <w:rPr>
        <w:rFonts w:ascii="Wingdings" w:hAnsi="Wingdings" w:hint="default"/>
      </w:rPr>
    </w:lvl>
    <w:lvl w:ilvl="6" w:tplc="0409000F" w:tentative="1">
      <w:start w:val="1"/>
      <w:numFmt w:val="bullet"/>
      <w:lvlText w:val=""/>
      <w:lvlJc w:val="left"/>
      <w:pPr>
        <w:ind w:left="6264" w:hanging="360"/>
      </w:pPr>
      <w:rPr>
        <w:rFonts w:ascii="Symbol" w:hAnsi="Symbol" w:hint="default"/>
      </w:rPr>
    </w:lvl>
    <w:lvl w:ilvl="7" w:tplc="04090019" w:tentative="1">
      <w:start w:val="1"/>
      <w:numFmt w:val="bullet"/>
      <w:lvlText w:val="o"/>
      <w:lvlJc w:val="left"/>
      <w:pPr>
        <w:ind w:left="6984" w:hanging="360"/>
      </w:pPr>
      <w:rPr>
        <w:rFonts w:ascii="Courier New" w:hAnsi="Courier New" w:cs="Courier New" w:hint="default"/>
      </w:rPr>
    </w:lvl>
    <w:lvl w:ilvl="8" w:tplc="0409001B" w:tentative="1">
      <w:start w:val="1"/>
      <w:numFmt w:val="bullet"/>
      <w:lvlText w:val=""/>
      <w:lvlJc w:val="left"/>
      <w:pPr>
        <w:ind w:left="7704" w:hanging="360"/>
      </w:pPr>
      <w:rPr>
        <w:rFonts w:ascii="Wingdings" w:hAnsi="Wingdings" w:hint="default"/>
      </w:rPr>
    </w:lvl>
  </w:abstractNum>
  <w:abstractNum w:abstractNumId="22" w15:restartNumberingAfterBreak="0">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15:restartNumberingAfterBreak="0">
    <w:nsid w:val="5E164668"/>
    <w:multiLevelType w:val="hybridMultilevel"/>
    <w:tmpl w:val="8B269720"/>
    <w:lvl w:ilvl="0" w:tplc="04090001">
      <w:start w:val="1"/>
      <w:numFmt w:val="upperLetter"/>
      <w:lvlText w:val="%1."/>
      <w:lvlJc w:val="left"/>
      <w:pPr>
        <w:ind w:left="1440" w:hanging="360"/>
      </w:pPr>
    </w:lvl>
    <w:lvl w:ilvl="1" w:tplc="04090005" w:tentative="1">
      <w:start w:val="1"/>
      <w:numFmt w:val="lowerLetter"/>
      <w:lvlText w:val="%2."/>
      <w:lvlJc w:val="left"/>
      <w:pPr>
        <w:ind w:left="2160" w:hanging="360"/>
      </w:pPr>
    </w:lvl>
    <w:lvl w:ilvl="2" w:tplc="04090005">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4" w15:restartNumberingAfterBreak="0">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61990918"/>
    <w:multiLevelType w:val="hybridMultilevel"/>
    <w:tmpl w:val="3D962378"/>
    <w:lvl w:ilvl="0" w:tplc="FF82AFB6">
      <w:start w:val="1"/>
      <w:numFmt w:val="bullet"/>
      <w:lvlText w:val=""/>
      <w:lvlJc w:val="left"/>
      <w:pPr>
        <w:ind w:left="792" w:hanging="360"/>
      </w:pPr>
      <w:rPr>
        <w:rFonts w:ascii="Symbol" w:hAnsi="Symbol" w:hint="default"/>
      </w:rPr>
    </w:lvl>
    <w:lvl w:ilvl="1" w:tplc="4F3ABD26" w:tentative="1">
      <w:start w:val="1"/>
      <w:numFmt w:val="bullet"/>
      <w:lvlText w:val="o"/>
      <w:lvlJc w:val="left"/>
      <w:pPr>
        <w:ind w:left="1512" w:hanging="360"/>
      </w:pPr>
      <w:rPr>
        <w:rFonts w:ascii="Courier New" w:hAnsi="Courier New" w:cs="Courier New" w:hint="default"/>
      </w:rPr>
    </w:lvl>
    <w:lvl w:ilvl="2" w:tplc="03B45008" w:tentative="1">
      <w:start w:val="1"/>
      <w:numFmt w:val="bullet"/>
      <w:lvlText w:val=""/>
      <w:lvlJc w:val="left"/>
      <w:pPr>
        <w:ind w:left="2232" w:hanging="360"/>
      </w:pPr>
      <w:rPr>
        <w:rFonts w:ascii="Wingdings" w:hAnsi="Wingdings" w:hint="default"/>
      </w:rPr>
    </w:lvl>
    <w:lvl w:ilvl="3" w:tplc="CF28CFEE" w:tentative="1">
      <w:start w:val="1"/>
      <w:numFmt w:val="bullet"/>
      <w:lvlText w:val=""/>
      <w:lvlJc w:val="left"/>
      <w:pPr>
        <w:ind w:left="2952" w:hanging="360"/>
      </w:pPr>
      <w:rPr>
        <w:rFonts w:ascii="Symbol" w:hAnsi="Symbol" w:hint="default"/>
      </w:rPr>
    </w:lvl>
    <w:lvl w:ilvl="4" w:tplc="649417FA" w:tentative="1">
      <w:start w:val="1"/>
      <w:numFmt w:val="bullet"/>
      <w:lvlText w:val="o"/>
      <w:lvlJc w:val="left"/>
      <w:pPr>
        <w:ind w:left="3672" w:hanging="360"/>
      </w:pPr>
      <w:rPr>
        <w:rFonts w:ascii="Courier New" w:hAnsi="Courier New" w:cs="Courier New" w:hint="default"/>
      </w:rPr>
    </w:lvl>
    <w:lvl w:ilvl="5" w:tplc="54F82BF0" w:tentative="1">
      <w:start w:val="1"/>
      <w:numFmt w:val="bullet"/>
      <w:lvlText w:val=""/>
      <w:lvlJc w:val="left"/>
      <w:pPr>
        <w:ind w:left="4392" w:hanging="360"/>
      </w:pPr>
      <w:rPr>
        <w:rFonts w:ascii="Wingdings" w:hAnsi="Wingdings" w:hint="default"/>
      </w:rPr>
    </w:lvl>
    <w:lvl w:ilvl="6" w:tplc="214CDAA4" w:tentative="1">
      <w:start w:val="1"/>
      <w:numFmt w:val="bullet"/>
      <w:lvlText w:val=""/>
      <w:lvlJc w:val="left"/>
      <w:pPr>
        <w:ind w:left="5112" w:hanging="360"/>
      </w:pPr>
      <w:rPr>
        <w:rFonts w:ascii="Symbol" w:hAnsi="Symbol" w:hint="default"/>
      </w:rPr>
    </w:lvl>
    <w:lvl w:ilvl="7" w:tplc="5442DE96" w:tentative="1">
      <w:start w:val="1"/>
      <w:numFmt w:val="bullet"/>
      <w:lvlText w:val="o"/>
      <w:lvlJc w:val="left"/>
      <w:pPr>
        <w:ind w:left="5832" w:hanging="360"/>
      </w:pPr>
      <w:rPr>
        <w:rFonts w:ascii="Courier New" w:hAnsi="Courier New" w:cs="Courier New" w:hint="default"/>
      </w:rPr>
    </w:lvl>
    <w:lvl w:ilvl="8" w:tplc="B2C84B80" w:tentative="1">
      <w:start w:val="1"/>
      <w:numFmt w:val="bullet"/>
      <w:lvlText w:val=""/>
      <w:lvlJc w:val="left"/>
      <w:pPr>
        <w:ind w:left="6552" w:hanging="360"/>
      </w:pPr>
      <w:rPr>
        <w:rFonts w:ascii="Wingdings" w:hAnsi="Wingdings" w:hint="default"/>
      </w:rPr>
    </w:lvl>
  </w:abstractNum>
  <w:abstractNum w:abstractNumId="26" w15:restartNumberingAfterBreak="0">
    <w:nsid w:val="64B36F43"/>
    <w:multiLevelType w:val="hybridMultilevel"/>
    <w:tmpl w:val="68D298E2"/>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6AC60008"/>
    <w:multiLevelType w:val="hybridMultilevel"/>
    <w:tmpl w:val="C4CC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A8921F0"/>
    <w:multiLevelType w:val="hybridMultilevel"/>
    <w:tmpl w:val="7820DE7C"/>
    <w:lvl w:ilvl="0" w:tplc="133057E6">
      <w:start w:val="1"/>
      <w:numFmt w:val="bullet"/>
      <w:lvlText w:val=""/>
      <w:lvlJc w:val="left"/>
      <w:pPr>
        <w:ind w:left="1440" w:hanging="360"/>
      </w:pPr>
      <w:rPr>
        <w:rFonts w:ascii="Wingdings" w:hAnsi="Wingdings" w:hint="default"/>
      </w:rPr>
    </w:lvl>
    <w:lvl w:ilvl="1" w:tplc="7B6AF5E8" w:tentative="1">
      <w:start w:val="1"/>
      <w:numFmt w:val="lowerLetter"/>
      <w:lvlText w:val="%2."/>
      <w:lvlJc w:val="left"/>
      <w:pPr>
        <w:ind w:left="2160" w:hanging="360"/>
      </w:pPr>
    </w:lvl>
    <w:lvl w:ilvl="2" w:tplc="83EA248E">
      <w:start w:val="1"/>
      <w:numFmt w:val="lowerRoman"/>
      <w:lvlText w:val="%3."/>
      <w:lvlJc w:val="right"/>
      <w:pPr>
        <w:ind w:left="2880" w:hanging="180"/>
      </w:pPr>
    </w:lvl>
    <w:lvl w:ilvl="3" w:tplc="A77E1528" w:tentative="1">
      <w:start w:val="1"/>
      <w:numFmt w:val="decimal"/>
      <w:lvlText w:val="%4."/>
      <w:lvlJc w:val="left"/>
      <w:pPr>
        <w:ind w:left="3600" w:hanging="360"/>
      </w:pPr>
    </w:lvl>
    <w:lvl w:ilvl="4" w:tplc="F31403FA" w:tentative="1">
      <w:start w:val="1"/>
      <w:numFmt w:val="lowerLetter"/>
      <w:lvlText w:val="%5."/>
      <w:lvlJc w:val="left"/>
      <w:pPr>
        <w:ind w:left="4320" w:hanging="360"/>
      </w:pPr>
    </w:lvl>
    <w:lvl w:ilvl="5" w:tplc="09CC5734" w:tentative="1">
      <w:start w:val="1"/>
      <w:numFmt w:val="lowerRoman"/>
      <w:lvlText w:val="%6."/>
      <w:lvlJc w:val="right"/>
      <w:pPr>
        <w:ind w:left="5040" w:hanging="180"/>
      </w:pPr>
    </w:lvl>
    <w:lvl w:ilvl="6" w:tplc="E0BE65C4" w:tentative="1">
      <w:start w:val="1"/>
      <w:numFmt w:val="decimal"/>
      <w:lvlText w:val="%7."/>
      <w:lvlJc w:val="left"/>
      <w:pPr>
        <w:ind w:left="5760" w:hanging="360"/>
      </w:pPr>
    </w:lvl>
    <w:lvl w:ilvl="7" w:tplc="A01CD462" w:tentative="1">
      <w:start w:val="1"/>
      <w:numFmt w:val="lowerLetter"/>
      <w:lvlText w:val="%8."/>
      <w:lvlJc w:val="left"/>
      <w:pPr>
        <w:ind w:left="6480" w:hanging="360"/>
      </w:pPr>
    </w:lvl>
    <w:lvl w:ilvl="8" w:tplc="634252D2" w:tentative="1">
      <w:start w:val="1"/>
      <w:numFmt w:val="lowerRoman"/>
      <w:lvlText w:val="%9."/>
      <w:lvlJc w:val="right"/>
      <w:pPr>
        <w:ind w:left="7200" w:hanging="180"/>
      </w:pPr>
    </w:lvl>
  </w:abstractNum>
  <w:abstractNum w:abstractNumId="30" w15:restartNumberingAfterBreak="0">
    <w:nsid w:val="7DC70601"/>
    <w:multiLevelType w:val="hybridMultilevel"/>
    <w:tmpl w:val="EF74DDF8"/>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1" w15:restartNumberingAfterBreak="0">
    <w:nsid w:val="7E2A6E2D"/>
    <w:multiLevelType w:val="hybridMultilevel"/>
    <w:tmpl w:val="711A80CC"/>
    <w:lvl w:ilvl="0" w:tplc="0409000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num w:numId="1" w16cid:durableId="811140763">
    <w:abstractNumId w:val="15"/>
  </w:num>
  <w:num w:numId="2" w16cid:durableId="1458328812">
    <w:abstractNumId w:val="7"/>
  </w:num>
  <w:num w:numId="3" w16cid:durableId="440222168">
    <w:abstractNumId w:val="19"/>
  </w:num>
  <w:num w:numId="4" w16cid:durableId="1757356739">
    <w:abstractNumId w:val="25"/>
  </w:num>
  <w:num w:numId="5" w16cid:durableId="234360597">
    <w:abstractNumId w:val="9"/>
  </w:num>
  <w:num w:numId="6" w16cid:durableId="124852819">
    <w:abstractNumId w:val="31"/>
  </w:num>
  <w:num w:numId="7" w16cid:durableId="882595110">
    <w:abstractNumId w:val="10"/>
  </w:num>
  <w:num w:numId="8" w16cid:durableId="476410528">
    <w:abstractNumId w:val="21"/>
  </w:num>
  <w:num w:numId="9" w16cid:durableId="773525515">
    <w:abstractNumId w:val="11"/>
  </w:num>
  <w:num w:numId="10" w16cid:durableId="1137604680">
    <w:abstractNumId w:val="8"/>
  </w:num>
  <w:num w:numId="11" w16cid:durableId="1387756519">
    <w:abstractNumId w:val="16"/>
  </w:num>
  <w:num w:numId="12" w16cid:durableId="1250847230">
    <w:abstractNumId w:val="6"/>
  </w:num>
  <w:num w:numId="13" w16cid:durableId="1993168433">
    <w:abstractNumId w:val="20"/>
  </w:num>
  <w:num w:numId="14" w16cid:durableId="181282067">
    <w:abstractNumId w:val="4"/>
  </w:num>
  <w:num w:numId="15" w16cid:durableId="670528854">
    <w:abstractNumId w:val="23"/>
  </w:num>
  <w:num w:numId="16" w16cid:durableId="1880434033">
    <w:abstractNumId w:val="24"/>
  </w:num>
  <w:num w:numId="17" w16cid:durableId="602884149">
    <w:abstractNumId w:val="22"/>
  </w:num>
  <w:num w:numId="18" w16cid:durableId="1972444723">
    <w:abstractNumId w:val="29"/>
  </w:num>
  <w:num w:numId="19" w16cid:durableId="1422946665">
    <w:abstractNumId w:val="28"/>
  </w:num>
  <w:num w:numId="20" w16cid:durableId="927999679">
    <w:abstractNumId w:val="2"/>
  </w:num>
  <w:num w:numId="21" w16cid:durableId="113326078">
    <w:abstractNumId w:val="12"/>
  </w:num>
  <w:num w:numId="22" w16cid:durableId="1333490591">
    <w:abstractNumId w:val="27"/>
  </w:num>
  <w:num w:numId="23" w16cid:durableId="1250889336">
    <w:abstractNumId w:val="13"/>
  </w:num>
  <w:num w:numId="24" w16cid:durableId="1038628101">
    <w:abstractNumId w:val="1"/>
  </w:num>
  <w:num w:numId="25" w16cid:durableId="271783447">
    <w:abstractNumId w:val="14"/>
  </w:num>
  <w:num w:numId="26" w16cid:durableId="2105296711">
    <w:abstractNumId w:val="5"/>
  </w:num>
  <w:num w:numId="27" w16cid:durableId="1565490276">
    <w:abstractNumId w:val="0"/>
  </w:num>
  <w:num w:numId="28" w16cid:durableId="1043940590">
    <w:abstractNumId w:val="3"/>
  </w:num>
  <w:num w:numId="29" w16cid:durableId="724911928">
    <w:abstractNumId w:val="18"/>
  </w:num>
  <w:num w:numId="30" w16cid:durableId="1777361538">
    <w:abstractNumId w:val="17"/>
  </w:num>
  <w:num w:numId="31" w16cid:durableId="918757661">
    <w:abstractNumId w:val="30"/>
  </w:num>
  <w:num w:numId="32" w16cid:durableId="16707102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B75"/>
    <w:rsid w:val="00027D5C"/>
    <w:rsid w:val="00033B1D"/>
    <w:rsid w:val="000355EC"/>
    <w:rsid w:val="00036E79"/>
    <w:rsid w:val="0004214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5C14"/>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129"/>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C1C"/>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359F"/>
    <w:rsid w:val="002538DA"/>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A350C"/>
    <w:rsid w:val="002A4501"/>
    <w:rsid w:val="002A4AED"/>
    <w:rsid w:val="002B0B16"/>
    <w:rsid w:val="002B1B14"/>
    <w:rsid w:val="002B36E5"/>
    <w:rsid w:val="002B3964"/>
    <w:rsid w:val="002B4813"/>
    <w:rsid w:val="002B5E48"/>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3CE0"/>
    <w:rsid w:val="00364EF9"/>
    <w:rsid w:val="003652DC"/>
    <w:rsid w:val="003678E1"/>
    <w:rsid w:val="00367EDD"/>
    <w:rsid w:val="00370FD9"/>
    <w:rsid w:val="0037100B"/>
    <w:rsid w:val="003724F7"/>
    <w:rsid w:val="003726B3"/>
    <w:rsid w:val="0037437B"/>
    <w:rsid w:val="00377A60"/>
    <w:rsid w:val="00377A8B"/>
    <w:rsid w:val="0038019D"/>
    <w:rsid w:val="003817FB"/>
    <w:rsid w:val="0038181C"/>
    <w:rsid w:val="00381EA2"/>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477B5"/>
    <w:rsid w:val="00451261"/>
    <w:rsid w:val="004512B7"/>
    <w:rsid w:val="004528B9"/>
    <w:rsid w:val="004536CA"/>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68E"/>
    <w:rsid w:val="004D4A27"/>
    <w:rsid w:val="004D4FB6"/>
    <w:rsid w:val="004D64E8"/>
    <w:rsid w:val="004E0EFC"/>
    <w:rsid w:val="004E2391"/>
    <w:rsid w:val="004E4F82"/>
    <w:rsid w:val="004E5A29"/>
    <w:rsid w:val="004E635A"/>
    <w:rsid w:val="004E6A3F"/>
    <w:rsid w:val="004E7314"/>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960AB"/>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5999"/>
    <w:rsid w:val="005C5B45"/>
    <w:rsid w:val="005C7794"/>
    <w:rsid w:val="005D0BD0"/>
    <w:rsid w:val="005D2253"/>
    <w:rsid w:val="005D2EC5"/>
    <w:rsid w:val="005D569C"/>
    <w:rsid w:val="005D6270"/>
    <w:rsid w:val="005E026C"/>
    <w:rsid w:val="005E1635"/>
    <w:rsid w:val="005E2226"/>
    <w:rsid w:val="005E2256"/>
    <w:rsid w:val="005E3D4D"/>
    <w:rsid w:val="005E5DE3"/>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CB1"/>
    <w:rsid w:val="00621E04"/>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18A2"/>
    <w:rsid w:val="006F2DC2"/>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6DA1"/>
    <w:rsid w:val="00846EEC"/>
    <w:rsid w:val="008471E2"/>
    <w:rsid w:val="00850325"/>
    <w:rsid w:val="00850E90"/>
    <w:rsid w:val="008512A2"/>
    <w:rsid w:val="00851AB6"/>
    <w:rsid w:val="00852023"/>
    <w:rsid w:val="00852A58"/>
    <w:rsid w:val="00854A4C"/>
    <w:rsid w:val="00856D52"/>
    <w:rsid w:val="008576F4"/>
    <w:rsid w:val="0086081D"/>
    <w:rsid w:val="0086094F"/>
    <w:rsid w:val="00860C07"/>
    <w:rsid w:val="00861249"/>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07B8F"/>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00A"/>
    <w:rsid w:val="009326F8"/>
    <w:rsid w:val="00932E20"/>
    <w:rsid w:val="009350DF"/>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0946"/>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7E6"/>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6FF8"/>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653E"/>
    <w:rsid w:val="00B87C3F"/>
    <w:rsid w:val="00B91F43"/>
    <w:rsid w:val="00B9235C"/>
    <w:rsid w:val="00B92768"/>
    <w:rsid w:val="00B92CF2"/>
    <w:rsid w:val="00B93592"/>
    <w:rsid w:val="00B940B5"/>
    <w:rsid w:val="00B96505"/>
    <w:rsid w:val="00B96819"/>
    <w:rsid w:val="00B96FC8"/>
    <w:rsid w:val="00BA0475"/>
    <w:rsid w:val="00BA0C3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6DED"/>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2770B"/>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79A"/>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77B2C"/>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20AE"/>
    <w:rsid w:val="00E52585"/>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7C34"/>
    <w:rsid w:val="00E90855"/>
    <w:rsid w:val="00E93337"/>
    <w:rsid w:val="00E93C72"/>
    <w:rsid w:val="00E94196"/>
    <w:rsid w:val="00E94ABE"/>
    <w:rsid w:val="00E952C0"/>
    <w:rsid w:val="00E95707"/>
    <w:rsid w:val="00E97E35"/>
    <w:rsid w:val="00EA3843"/>
    <w:rsid w:val="00EA3EAF"/>
    <w:rsid w:val="00EA4B88"/>
    <w:rsid w:val="00EA4FC1"/>
    <w:rsid w:val="00EA61C8"/>
    <w:rsid w:val="00EB027C"/>
    <w:rsid w:val="00EB0468"/>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48FC"/>
    <w:rsid w:val="00FE5F59"/>
    <w:rsid w:val="00FE7B41"/>
    <w:rsid w:val="00FE7CF5"/>
    <w:rsid w:val="00FF0112"/>
    <w:rsid w:val="00FF195B"/>
    <w:rsid w:val="00FF1EDE"/>
    <w:rsid w:val="00FF221A"/>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82DF7"/>
  <w15:docId w15:val="{75980338-2EF6-4C31-8A12-E7EB26CE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F13AB-0895-4008-8D74-AA15718FF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Marwan Siddiq</cp:lastModifiedBy>
  <cp:revision>16</cp:revision>
  <dcterms:created xsi:type="dcterms:W3CDTF">2021-11-04T08:41:00Z</dcterms:created>
  <dcterms:modified xsi:type="dcterms:W3CDTF">2025-09-08T09:22:00Z</dcterms:modified>
</cp:coreProperties>
</file>