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767A26D3" w14:textId="77777777" w:rsidTr="00980C86">
        <w:tc>
          <w:tcPr>
            <w:tcW w:w="1980" w:type="dxa"/>
          </w:tcPr>
          <w:p w14:paraId="00922C9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02C6061C" w14:textId="77777777" w:rsidR="00A30946" w:rsidRPr="00A30946" w:rsidRDefault="00A30946" w:rsidP="00A30946">
            <w:pPr>
              <w:spacing w:before="120" w:after="120"/>
              <w:ind w:left="72" w:right="162"/>
              <w:jc w:val="both"/>
              <w:rPr>
                <w:rFonts w:ascii="Calibri" w:hAnsi="Calibri"/>
                <w:bCs/>
              </w:rPr>
            </w:pPr>
            <w:r w:rsidRPr="00A30946">
              <w:rPr>
                <w:rFonts w:ascii="Calibri" w:hAnsi="Calibri"/>
                <w:bCs/>
              </w:rPr>
              <w:t>The confidentiality, integrity and availability of information, in all its forms, are critical to the on-going functioning and to meet the IT governance objectives in SMSA. SMSA has implemented Information Security Tools, Technology and Systems to on top of all IT services being provided to internal and external customers. The level of dependence upon information systems for both routine business operations as also the development and delivery of new services is on the rise. It is essential for SMSA’s continued successful operation that the Confidentiality, Integrity and Availability of its information systems and associated data are maintained, in a cost-effective manner and at a level that is appropriate to its business. The need for such protection arises because Information systems are potentially vulnerable to two main categories of unwanted events, or threats. These are accidental threats (human error/equipment failure/ hazards) and/or malicious threats (fraud/ theft). There is also the threat of legal action if information systems are misused, which SMSA and its employees should be aware of.</w:t>
            </w:r>
          </w:p>
          <w:p w14:paraId="01E524D0" w14:textId="77777777" w:rsidR="00A30946" w:rsidRPr="00A30946" w:rsidRDefault="00A30946" w:rsidP="00A30946">
            <w:pPr>
              <w:spacing w:before="120" w:after="120"/>
              <w:ind w:left="72" w:right="162"/>
              <w:jc w:val="both"/>
              <w:rPr>
                <w:rFonts w:ascii="Calibri" w:hAnsi="Calibri"/>
                <w:bCs/>
              </w:rPr>
            </w:pPr>
            <w:r w:rsidRPr="00A30946">
              <w:rPr>
                <w:rFonts w:ascii="Calibri" w:hAnsi="Calibri"/>
                <w:bCs/>
              </w:rPr>
              <w:t>SMSA Information Security Policy is aimed at enhancement of its ability to collect, store, process and transmit information electronically. Information and information Systems are vital assets in the pursuit of business objectives, and it is important that information is managed with regard to:</w:t>
            </w:r>
          </w:p>
          <w:p w14:paraId="4EC1E6DC" w14:textId="77777777" w:rsidR="00A30946" w:rsidRPr="00A30946" w:rsidRDefault="00A30946" w:rsidP="00A30946">
            <w:pPr>
              <w:numPr>
                <w:ilvl w:val="0"/>
                <w:numId w:val="24"/>
              </w:numPr>
              <w:spacing w:before="120" w:after="120"/>
              <w:ind w:right="162"/>
              <w:jc w:val="both"/>
              <w:rPr>
                <w:rFonts w:ascii="Calibri" w:hAnsi="Calibri"/>
                <w:bCs/>
              </w:rPr>
            </w:pPr>
            <w:r w:rsidRPr="00A30946">
              <w:rPr>
                <w:rFonts w:ascii="Calibri" w:hAnsi="Calibri"/>
                <w:b/>
              </w:rPr>
              <w:t>Confidentiality</w:t>
            </w:r>
            <w:r w:rsidRPr="00A30946">
              <w:rPr>
                <w:rFonts w:ascii="Calibri" w:hAnsi="Calibri"/>
                <w:b/>
              </w:rPr>
              <w:tab/>
              <w:t>(C)</w:t>
            </w:r>
            <w:r w:rsidRPr="00A30946">
              <w:rPr>
                <w:rFonts w:ascii="Calibri" w:hAnsi="Calibri"/>
                <w:bCs/>
              </w:rPr>
              <w:t>: Information is accessible only to those authorized to have access</w:t>
            </w:r>
          </w:p>
          <w:p w14:paraId="7FC26653" w14:textId="77777777" w:rsidR="00A30946" w:rsidRPr="00A30946" w:rsidRDefault="00A30946" w:rsidP="00A30946">
            <w:pPr>
              <w:numPr>
                <w:ilvl w:val="0"/>
                <w:numId w:val="24"/>
              </w:numPr>
              <w:spacing w:before="120" w:after="120"/>
              <w:ind w:right="162"/>
              <w:jc w:val="both"/>
              <w:rPr>
                <w:rFonts w:ascii="Calibri" w:hAnsi="Calibri"/>
                <w:bCs/>
              </w:rPr>
            </w:pPr>
            <w:r>
              <w:rPr>
                <w:rFonts w:ascii="Calibri" w:hAnsi="Calibri"/>
                <w:b/>
              </w:rPr>
              <w:t xml:space="preserve">Integrity </w:t>
            </w:r>
            <w:r w:rsidRPr="00A30946">
              <w:rPr>
                <w:rFonts w:ascii="Calibri" w:hAnsi="Calibri"/>
                <w:b/>
              </w:rPr>
              <w:t>(I)</w:t>
            </w:r>
            <w:r w:rsidRPr="00A30946">
              <w:rPr>
                <w:rFonts w:ascii="Calibri" w:hAnsi="Calibri"/>
                <w:bCs/>
              </w:rPr>
              <w:t>: Accuracy and completeness of information</w:t>
            </w:r>
          </w:p>
          <w:p w14:paraId="5FDC6E2B" w14:textId="77777777" w:rsidR="00A30946" w:rsidRPr="00A30946" w:rsidRDefault="00A30946" w:rsidP="00A30946">
            <w:pPr>
              <w:numPr>
                <w:ilvl w:val="0"/>
                <w:numId w:val="24"/>
              </w:numPr>
              <w:spacing w:before="120" w:after="120"/>
              <w:ind w:right="162"/>
              <w:jc w:val="both"/>
              <w:rPr>
                <w:rFonts w:ascii="Calibri" w:hAnsi="Calibri"/>
                <w:bCs/>
              </w:rPr>
            </w:pPr>
            <w:r>
              <w:rPr>
                <w:rFonts w:ascii="Calibri" w:hAnsi="Calibri"/>
                <w:b/>
              </w:rPr>
              <w:t xml:space="preserve">Availability </w:t>
            </w:r>
            <w:r w:rsidRPr="00A30946">
              <w:rPr>
                <w:rFonts w:ascii="Calibri" w:hAnsi="Calibri"/>
                <w:b/>
              </w:rPr>
              <w:t>(A)</w:t>
            </w:r>
            <w:r w:rsidRPr="00A30946">
              <w:rPr>
                <w:rFonts w:ascii="Calibri" w:hAnsi="Calibri"/>
                <w:bCs/>
              </w:rPr>
              <w:t>: Authorized users only can access information and IT assets.</w:t>
            </w:r>
          </w:p>
          <w:p w14:paraId="267B56BE" w14:textId="77777777" w:rsidR="00A30946" w:rsidRPr="00A30946" w:rsidRDefault="00A30946" w:rsidP="00A30946">
            <w:pPr>
              <w:spacing w:before="120" w:after="120"/>
              <w:ind w:left="72" w:right="162"/>
              <w:jc w:val="both"/>
              <w:rPr>
                <w:rFonts w:ascii="Calibri" w:hAnsi="Calibri"/>
                <w:bCs/>
              </w:rPr>
            </w:pPr>
            <w:r w:rsidRPr="00A30946">
              <w:rPr>
                <w:rFonts w:ascii="Calibri" w:hAnsi="Calibri"/>
                <w:bCs/>
              </w:rPr>
              <w:t>SMSA must, therefore, ensure that appropriate levels of information security are maintained, to assure the confidentiality, integrity and availability of information Systems at all times to achieve the following:</w:t>
            </w:r>
          </w:p>
          <w:p w14:paraId="64BB78CF" w14:textId="77777777" w:rsidR="00A30946" w:rsidRPr="00A30946" w:rsidRDefault="00A30946" w:rsidP="00A30946">
            <w:pPr>
              <w:numPr>
                <w:ilvl w:val="0"/>
                <w:numId w:val="3"/>
              </w:numPr>
              <w:spacing w:before="120" w:after="120"/>
              <w:ind w:right="162"/>
              <w:jc w:val="both"/>
              <w:rPr>
                <w:rFonts w:ascii="Calibri" w:hAnsi="Calibri" w:cs="Tahoma"/>
                <w:lang w:val="en-IN"/>
              </w:rPr>
            </w:pPr>
            <w:r w:rsidRPr="00A30946">
              <w:rPr>
                <w:rFonts w:ascii="Calibri" w:hAnsi="Calibri" w:cs="Tahoma"/>
                <w:lang w:val="en-IN"/>
              </w:rPr>
              <w:t>To assure management commitment and directives for Information Security.</w:t>
            </w:r>
          </w:p>
          <w:p w14:paraId="07168979" w14:textId="77777777" w:rsidR="00A30946" w:rsidRPr="00A30946" w:rsidRDefault="00A30946" w:rsidP="00A30946">
            <w:pPr>
              <w:numPr>
                <w:ilvl w:val="0"/>
                <w:numId w:val="3"/>
              </w:numPr>
              <w:spacing w:before="120" w:after="120"/>
              <w:ind w:right="162"/>
              <w:jc w:val="both"/>
              <w:rPr>
                <w:rFonts w:ascii="Calibri" w:hAnsi="Calibri" w:cs="Tahoma"/>
                <w:lang w:val="en-IN"/>
              </w:rPr>
            </w:pPr>
            <w:r w:rsidRPr="00A30946">
              <w:rPr>
                <w:rFonts w:ascii="Calibri" w:hAnsi="Calibri" w:cs="Tahoma"/>
                <w:lang w:val="en-IN"/>
              </w:rPr>
              <w:t>To establish a general approach to information security</w:t>
            </w:r>
          </w:p>
          <w:p w14:paraId="06A4AC7F" w14:textId="77777777" w:rsidR="003050B7" w:rsidRPr="00A30946" w:rsidRDefault="00A30946" w:rsidP="00A30946">
            <w:pPr>
              <w:numPr>
                <w:ilvl w:val="0"/>
                <w:numId w:val="3"/>
              </w:numPr>
              <w:spacing w:before="120" w:after="120"/>
              <w:ind w:right="162"/>
              <w:jc w:val="both"/>
              <w:rPr>
                <w:rFonts w:ascii="Calibri" w:hAnsi="Calibri" w:cs="Tahoma"/>
                <w:lang w:val="en-IN"/>
              </w:rPr>
            </w:pPr>
            <w:r w:rsidRPr="00A30946">
              <w:rPr>
                <w:rFonts w:ascii="Calibri" w:hAnsi="Calibri" w:cs="Tahoma"/>
                <w:lang w:val="en-IN"/>
              </w:rPr>
              <w:t>To help SMSA develop a framework to manage Information security</w:t>
            </w:r>
          </w:p>
        </w:tc>
      </w:tr>
      <w:tr w:rsidR="00A30946" w:rsidRPr="002928E9" w14:paraId="0DFBD137" w14:textId="77777777" w:rsidTr="00980C86">
        <w:tc>
          <w:tcPr>
            <w:tcW w:w="1980" w:type="dxa"/>
          </w:tcPr>
          <w:p w14:paraId="473070AD" w14:textId="77777777" w:rsidR="00A30946" w:rsidRDefault="00A30946" w:rsidP="003050B7">
            <w:pPr>
              <w:spacing w:before="120" w:after="120"/>
              <w:rPr>
                <w:rFonts w:ascii="Calibri" w:hAnsi="Calibri"/>
                <w:b/>
                <w:bCs/>
              </w:rPr>
            </w:pPr>
            <w:r>
              <w:rPr>
                <w:rFonts w:ascii="Calibri" w:hAnsi="Calibri"/>
                <w:b/>
                <w:bCs/>
              </w:rPr>
              <w:t>Scope</w:t>
            </w:r>
          </w:p>
        </w:tc>
        <w:tc>
          <w:tcPr>
            <w:tcW w:w="8640" w:type="dxa"/>
          </w:tcPr>
          <w:p w14:paraId="285F78C9" w14:textId="77777777" w:rsidR="00A30946" w:rsidRPr="004E7314" w:rsidRDefault="00A30946"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71A98BFC" w14:textId="77777777" w:rsidR="00A30946" w:rsidRPr="004E7314" w:rsidRDefault="00A30946"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106C4201" w14:textId="77777777" w:rsidR="00A30946" w:rsidRPr="004E7314" w:rsidRDefault="00A30946"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14:paraId="242CD2CB" w14:textId="77777777" w:rsidR="00A30946" w:rsidRPr="004E7314" w:rsidRDefault="00A30946"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669F7296" w14:textId="77777777" w:rsidR="00A30946" w:rsidRPr="004E7314" w:rsidRDefault="00A30946"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A30946" w:rsidRPr="002928E9" w14:paraId="4004B9AB" w14:textId="77777777" w:rsidTr="00980C86">
        <w:tc>
          <w:tcPr>
            <w:tcW w:w="1980" w:type="dxa"/>
          </w:tcPr>
          <w:p w14:paraId="1095F3F7" w14:textId="77777777" w:rsidR="00A30946" w:rsidRDefault="00A30946" w:rsidP="003050B7">
            <w:pPr>
              <w:spacing w:before="120" w:after="0"/>
              <w:rPr>
                <w:rFonts w:ascii="Calibri" w:hAnsi="Calibri"/>
                <w:b/>
                <w:bCs/>
              </w:rPr>
            </w:pPr>
            <w:r>
              <w:rPr>
                <w:rFonts w:ascii="Calibri" w:hAnsi="Calibri"/>
                <w:b/>
                <w:bCs/>
              </w:rPr>
              <w:t>Responsibilities</w:t>
            </w:r>
          </w:p>
        </w:tc>
        <w:tc>
          <w:tcPr>
            <w:tcW w:w="8640" w:type="dxa"/>
          </w:tcPr>
          <w:p w14:paraId="63BCFB0F" w14:textId="77777777" w:rsidR="00A30946" w:rsidRPr="004E7314" w:rsidRDefault="00A30946"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63F84E5B" w14:textId="77777777" w:rsidR="00A30946" w:rsidRPr="004E7314" w:rsidRDefault="00A30946"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47E2E614" w14:textId="77777777" w:rsidR="00A30946" w:rsidRDefault="00A30946" w:rsidP="004E7314">
            <w:pPr>
              <w:spacing w:after="240"/>
              <w:ind w:left="72" w:right="162"/>
              <w:jc w:val="both"/>
              <w:rPr>
                <w:rFonts w:ascii="Calibri" w:hAnsi="Calibri" w:cs="Tahoma"/>
                <w:lang w:val="en-IN"/>
              </w:rPr>
            </w:pPr>
            <w:r w:rsidRPr="004E7314">
              <w:rPr>
                <w:rFonts w:ascii="Calibri" w:hAnsi="Calibri" w:cs="Tahoma"/>
                <w:lang w:val="en-IN"/>
              </w:rPr>
              <w:lastRenderedPageBreak/>
              <w:t>National IT Manager</w:t>
            </w:r>
            <w:r>
              <w:rPr>
                <w:rFonts w:ascii="Calibri" w:hAnsi="Calibri" w:cs="Tahoma"/>
                <w:lang w:val="en-IN"/>
              </w:rPr>
              <w:t xml:space="preserve"> – </w:t>
            </w:r>
          </w:p>
          <w:p w14:paraId="66A1721E" w14:textId="77777777" w:rsidR="00A30946" w:rsidRDefault="00A30946"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5AA3D578" w14:textId="77777777" w:rsidR="00A30946" w:rsidRDefault="00A30946"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5A413E00" w14:textId="77777777" w:rsidR="00A30946" w:rsidRDefault="00A30946"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13F464F0" w14:textId="77777777" w:rsidR="00A30946" w:rsidRDefault="00A30946"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1D103FC" w14:textId="77777777" w:rsidR="00A30946" w:rsidRDefault="00A30946"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6A92A83F" w14:textId="77777777" w:rsidR="00A30946" w:rsidRDefault="00A30946"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174D6097" w14:textId="77777777" w:rsidR="00A30946" w:rsidRDefault="00A30946"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0E7F4352" w14:textId="77777777" w:rsidR="00A30946" w:rsidRPr="004E7314" w:rsidRDefault="00A30946"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434658B0" w14:textId="77777777" w:rsidR="00A30946" w:rsidRPr="004E7314" w:rsidRDefault="00A30946"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7CC51EBE" w14:textId="77777777" w:rsidR="00A30946" w:rsidRPr="004E7314" w:rsidRDefault="00A30946"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313951D1" w14:textId="77777777" w:rsidR="00A30946" w:rsidRDefault="00A30946"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regular review of ISMS documents are carried as per the document control procedure.</w:t>
            </w:r>
          </w:p>
          <w:p w14:paraId="7F047CE3" w14:textId="77777777" w:rsidR="00A30946" w:rsidRDefault="00A30946"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6A3818FB" w14:textId="77777777" w:rsidR="00A30946" w:rsidRDefault="00A30946" w:rsidP="0093200A">
            <w:pPr>
              <w:spacing w:after="240"/>
              <w:ind w:right="162"/>
              <w:jc w:val="both"/>
              <w:rPr>
                <w:rFonts w:ascii="Calibri" w:hAnsi="Calibri" w:cs="Tahoma"/>
                <w:lang w:val="en-IN"/>
              </w:rPr>
            </w:pPr>
            <w:r>
              <w:rPr>
                <w:rFonts w:ascii="Calibri" w:hAnsi="Calibri" w:cs="Tahoma"/>
                <w:lang w:val="en-IN"/>
              </w:rPr>
              <w:t xml:space="preserve">Department Heads – </w:t>
            </w:r>
          </w:p>
          <w:p w14:paraId="05235397" w14:textId="77777777" w:rsidR="00A30946" w:rsidRDefault="00A30946"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Implementing and enforcing the relevant portions of the policies within their functions.</w:t>
            </w:r>
          </w:p>
          <w:p w14:paraId="374A8BBE" w14:textId="77777777" w:rsidR="00A30946" w:rsidRPr="0093200A" w:rsidRDefault="00A30946"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41DFC13B" w14:textId="77777777" w:rsidR="00A30946" w:rsidRPr="00293E15" w:rsidRDefault="00A30946"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A30946" w:rsidRPr="002928E9" w14:paraId="45C285D8" w14:textId="77777777" w:rsidTr="00980C86">
        <w:tc>
          <w:tcPr>
            <w:tcW w:w="1980" w:type="dxa"/>
          </w:tcPr>
          <w:p w14:paraId="1053A8AB" w14:textId="77777777" w:rsidR="00A30946" w:rsidRPr="00980C86" w:rsidRDefault="00A30946" w:rsidP="007419E0">
            <w:pPr>
              <w:spacing w:before="120" w:after="0"/>
              <w:rPr>
                <w:rFonts w:ascii="Calibri" w:hAnsi="Calibri"/>
                <w:b/>
                <w:bCs/>
              </w:rPr>
            </w:pPr>
            <w:r w:rsidRPr="00980C86">
              <w:rPr>
                <w:rFonts w:ascii="Calibri" w:hAnsi="Calibri"/>
                <w:b/>
                <w:bCs/>
              </w:rPr>
              <w:lastRenderedPageBreak/>
              <w:t>Guidelines</w:t>
            </w:r>
          </w:p>
        </w:tc>
        <w:tc>
          <w:tcPr>
            <w:tcW w:w="8640" w:type="dxa"/>
          </w:tcPr>
          <w:p w14:paraId="747A6FE6" w14:textId="77777777" w:rsidR="00A30946" w:rsidRDefault="00A30946"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1823CB36" w14:textId="77777777" w:rsidR="00A30946" w:rsidRPr="00A30946" w:rsidRDefault="00A30946" w:rsidP="00A30946">
            <w:pPr>
              <w:ind w:right="162"/>
              <w:rPr>
                <w:rFonts w:ascii="Calibri" w:hAnsi="Calibri" w:cs="Tahoma"/>
                <w:b/>
                <w:bCs/>
                <w:u w:val="single"/>
              </w:rPr>
            </w:pPr>
            <w:r w:rsidRPr="006D1B43">
              <w:rPr>
                <w:rFonts w:ascii="Calibri" w:hAnsi="Calibri" w:cs="Tahoma"/>
                <w:b/>
                <w:bCs/>
                <w:u w:val="single"/>
                <w:lang w:val="en-IN"/>
              </w:rPr>
              <w:t xml:space="preserve">1.1 </w:t>
            </w:r>
            <w:r w:rsidRPr="00A30946">
              <w:rPr>
                <w:rFonts w:ascii="Calibri" w:hAnsi="Calibri" w:cs="Tahoma"/>
                <w:b/>
                <w:bCs/>
                <w:u w:val="single"/>
              </w:rPr>
              <w:t>Management direction for information security (5.1)</w:t>
            </w:r>
          </w:p>
          <w:p w14:paraId="30378573" w14:textId="77777777" w:rsidR="00A30946" w:rsidRPr="00A30946" w:rsidRDefault="00A30946" w:rsidP="00A30946">
            <w:pPr>
              <w:ind w:right="162"/>
              <w:rPr>
                <w:rFonts w:ascii="Calibri" w:hAnsi="Calibri" w:cs="Tahoma"/>
                <w:b/>
                <w:bCs/>
              </w:rPr>
            </w:pPr>
            <w:r>
              <w:rPr>
                <w:rFonts w:ascii="Calibri" w:hAnsi="Calibri" w:cs="Tahoma"/>
                <w:b/>
                <w:bCs/>
                <w:lang w:val="en-IN"/>
              </w:rPr>
              <w:t xml:space="preserve">1.1.1 </w:t>
            </w:r>
            <w:r w:rsidRPr="00A30946">
              <w:rPr>
                <w:rFonts w:ascii="Calibri" w:hAnsi="Calibri" w:cs="Tahoma"/>
                <w:b/>
                <w:bCs/>
              </w:rPr>
              <w:t>Policies for information (5.1.1)</w:t>
            </w:r>
          </w:p>
          <w:p w14:paraId="5D075468"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Data, Information and information systems shall be made available to authorized users as per the business needs and used in an effective manner to promote SMSA’s mission and strategy.</w:t>
            </w:r>
          </w:p>
          <w:p w14:paraId="7D3E0C7E"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Information security objectives shall be established to ensure that they are compatible with this information security policy and the strategic direction of the Company.</w:t>
            </w:r>
          </w:p>
          <w:p w14:paraId="5072417F"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All SMSA’s information assets including information, intellectual property and information systems shall be adequately and consistently protected from damage, inappropriate alteration, loss, and unauthorized use or access. The level of protection shall be commensurate with the sensitivity of information.</w:t>
            </w:r>
          </w:p>
          <w:p w14:paraId="4A478B90"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lastRenderedPageBreak/>
              <w:t xml:space="preserve">All information security related regulatory and statutory requirements pertaining to information collection, storage, processing, transmission and Disclosure that are applicable to SMSA, shall be met. </w:t>
            </w:r>
          </w:p>
          <w:p w14:paraId="35C1F8C4"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The importance of effective information security management and of conforming to the information security management system requirements shall be communicated.</w:t>
            </w:r>
          </w:p>
          <w:p w14:paraId="6D714ECB"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A level of awareness on information security shall be created, as part of the day-to-day operations of SMSA, and it shall be ensured that all employees and third party personnel understand their responsibilities for maintaining information security.</w:t>
            </w:r>
          </w:p>
          <w:p w14:paraId="2EE8A88D"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Tools and Resources needed for the information security management system shall be made available.</w:t>
            </w:r>
          </w:p>
          <w:p w14:paraId="2E96E4CB"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Detailed information security policies and procedures document shall be created based on this policy and compliance against such policies and procedures shall be ensured.</w:t>
            </w:r>
          </w:p>
          <w:p w14:paraId="6DD402BB"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 xml:space="preserve">Top management shall ensure that the information security management system achieves its intended outcome(s). </w:t>
            </w:r>
          </w:p>
          <w:p w14:paraId="7979A89B"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All SMSA designated persons shall be directed and supported to contribute to the effectiveness of the information security management system.</w:t>
            </w:r>
          </w:p>
          <w:p w14:paraId="4B463912"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Relevant management roles shall be supported in order to demonstrate their leadership as it applies to their areas of responsibility.</w:t>
            </w:r>
          </w:p>
          <w:p w14:paraId="60083DA1" w14:textId="77777777" w:rsidR="00A30946" w:rsidRPr="00A30946" w:rsidRDefault="00A30946" w:rsidP="00A30946">
            <w:pPr>
              <w:pStyle w:val="ListParagraph"/>
              <w:numPr>
                <w:ilvl w:val="0"/>
                <w:numId w:val="9"/>
              </w:numPr>
              <w:ind w:right="162"/>
              <w:rPr>
                <w:rFonts w:ascii="Calibri" w:hAnsi="Calibri" w:cs="Tahoma"/>
              </w:rPr>
            </w:pPr>
            <w:r w:rsidRPr="00A30946">
              <w:rPr>
                <w:rFonts w:ascii="Calibri" w:hAnsi="Calibri" w:cs="Tahoma"/>
              </w:rPr>
              <w:t>A mechanism for continual process of review and improvement shall be followed.</w:t>
            </w:r>
          </w:p>
          <w:p w14:paraId="37313E61" w14:textId="77777777" w:rsidR="00A30946" w:rsidRPr="00363CE0" w:rsidRDefault="00A30946"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Pr="00363CE0">
              <w:rPr>
                <w:rFonts w:ascii="Calibri" w:hAnsi="Calibri" w:cs="Tahoma"/>
                <w:b/>
                <w:bCs/>
                <w:u w:val="single"/>
                <w:lang w:val="en-IN"/>
              </w:rPr>
              <w:t>Review Period</w:t>
            </w:r>
            <w:bookmarkEnd w:id="0"/>
          </w:p>
          <w:p w14:paraId="7732D07F" w14:textId="77777777" w:rsidR="00A30946" w:rsidRPr="00363CE0" w:rsidRDefault="00A30946"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7375A05B" w14:textId="77777777" w:rsidR="00A30946" w:rsidRPr="00363CE0" w:rsidRDefault="00A30946"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Pr="00363CE0">
              <w:rPr>
                <w:rFonts w:ascii="Calibri" w:hAnsi="Calibri" w:cs="Tahoma"/>
                <w:b/>
                <w:bCs/>
                <w:u w:val="single"/>
                <w:lang w:val="en-IN"/>
              </w:rPr>
              <w:t>Enforcement</w:t>
            </w:r>
            <w:bookmarkEnd w:id="1"/>
            <w:bookmarkEnd w:id="2"/>
          </w:p>
          <w:p w14:paraId="0295A598" w14:textId="77777777" w:rsidR="00A30946" w:rsidRPr="003377EB" w:rsidRDefault="00A30946"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41FE664D" w14:textId="77777777" w:rsidR="00A30946" w:rsidRPr="003377EB" w:rsidRDefault="00A30946"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57A766A6" w14:textId="77777777" w:rsidR="00A30946" w:rsidRPr="003377EB" w:rsidRDefault="00A30946"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4C19D482" w14:textId="77777777" w:rsidR="00A30946" w:rsidRPr="003377EB" w:rsidRDefault="00A30946"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5FA4FC7" w14:textId="77777777" w:rsidR="00A30946" w:rsidRPr="003377EB" w:rsidRDefault="00A30946"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ED342E2" w14:textId="77777777" w:rsidR="00A30946" w:rsidRPr="003377EB" w:rsidRDefault="00A30946"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49B9BDC7" w14:textId="77777777" w:rsidR="00A30946" w:rsidRPr="00363CE0" w:rsidRDefault="00A30946" w:rsidP="00363CE0">
            <w:pPr>
              <w:spacing w:line="276" w:lineRule="auto"/>
              <w:jc w:val="both"/>
              <w:rPr>
                <w:b/>
                <w:bCs/>
              </w:rPr>
            </w:pPr>
            <w:r>
              <w:rPr>
                <w:b/>
                <w:bCs/>
              </w:rPr>
              <w:t xml:space="preserve">3.1 </w:t>
            </w:r>
            <w:r w:rsidRPr="00363CE0">
              <w:rPr>
                <w:b/>
                <w:bCs/>
              </w:rPr>
              <w:t>Policy Violation</w:t>
            </w:r>
          </w:p>
          <w:p w14:paraId="75B267C9" w14:textId="77777777" w:rsidR="00A30946" w:rsidRPr="00363CE0" w:rsidRDefault="00A30946"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58448AD2" w14:textId="77777777" w:rsidR="00A30946" w:rsidRPr="00363CE0" w:rsidRDefault="00A30946"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588E7D6B" w14:textId="77777777" w:rsidR="00A30946" w:rsidRPr="00363CE0" w:rsidRDefault="00A30946"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6D6E579F" w14:textId="77777777" w:rsidR="00A30946" w:rsidRPr="00363CE0" w:rsidRDefault="00A30946"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3D24623A" w14:textId="77777777" w:rsidR="00A30946" w:rsidRPr="00363CE0" w:rsidRDefault="00A30946"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w:t>
            </w:r>
            <w:r w:rsidR="00042149">
              <w:rPr>
                <w:rFonts w:ascii="Calibri" w:hAnsi="Calibri" w:cs="Tahoma"/>
                <w:lang w:val="en-IN"/>
              </w:rPr>
              <w:t xml:space="preserve"> </w:t>
            </w:r>
            <w:r w:rsidR="00850E90">
              <w:rPr>
                <w:rFonts w:ascii="Calibri" w:hAnsi="Calibri" w:cs="Tahoma"/>
                <w:lang w:val="en-IN"/>
              </w:rPr>
              <w:t>QRM,</w:t>
            </w:r>
            <w:r w:rsidRPr="00363CE0">
              <w:rPr>
                <w:rFonts w:ascii="Calibri" w:hAnsi="Calibri" w:cs="Tahoma"/>
                <w:lang w:val="en-IN"/>
              </w:rPr>
              <w:t xml:space="preserve"> HR department and Legal department.</w:t>
            </w:r>
          </w:p>
          <w:p w14:paraId="37D92177" w14:textId="77777777" w:rsidR="00A30946" w:rsidRPr="00363CE0" w:rsidRDefault="00A30946" w:rsidP="00363CE0">
            <w:pPr>
              <w:spacing w:line="276" w:lineRule="auto"/>
              <w:jc w:val="both"/>
              <w:rPr>
                <w:b/>
                <w:bCs/>
              </w:rPr>
            </w:pPr>
            <w:r>
              <w:rPr>
                <w:b/>
                <w:bCs/>
              </w:rPr>
              <w:t xml:space="preserve">3.2 </w:t>
            </w:r>
            <w:r w:rsidRPr="00363CE0">
              <w:rPr>
                <w:b/>
                <w:bCs/>
              </w:rPr>
              <w:t>Policy Waiver</w:t>
            </w:r>
          </w:p>
          <w:p w14:paraId="1FE59645" w14:textId="77777777" w:rsidR="00A30946" w:rsidRPr="002660D7" w:rsidRDefault="00A30946"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Pr>
                <w:rFonts w:ascii="Calibri" w:hAnsi="Calibri" w:cs="Tahoma"/>
                <w:lang w:val="en-IN"/>
              </w:rPr>
              <w:t>the Managing Director and documented.</w:t>
            </w:r>
          </w:p>
        </w:tc>
      </w:tr>
    </w:tbl>
    <w:p w14:paraId="529592D3"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F0E5" w14:textId="77777777" w:rsidR="00F90B58" w:rsidRDefault="00F90B58" w:rsidP="003050B7">
      <w:pPr>
        <w:spacing w:after="0"/>
      </w:pPr>
      <w:r>
        <w:separator/>
      </w:r>
    </w:p>
  </w:endnote>
  <w:endnote w:type="continuationSeparator" w:id="0">
    <w:p w14:paraId="0DA66245" w14:textId="77777777" w:rsidR="00F90B58" w:rsidRDefault="00F90B58"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8E7D" w14:textId="77777777" w:rsidR="005D6266" w:rsidRDefault="005D6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574C" w14:textId="4CA78A7D" w:rsidR="00000000" w:rsidRPr="00B93592" w:rsidRDefault="00B93592" w:rsidP="002D3D50">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CD579A"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CD579A" w:rsidRPr="00B93592">
      <w:rPr>
        <w:rFonts w:asciiTheme="minorHAnsi" w:hAnsiTheme="minorHAnsi" w:cstheme="minorHAnsi"/>
        <w:b/>
        <w:sz w:val="20"/>
        <w:szCs w:val="20"/>
      </w:rPr>
      <w:fldChar w:fldCharType="separate"/>
    </w:r>
    <w:r w:rsidR="002D3D50">
      <w:rPr>
        <w:rFonts w:asciiTheme="minorHAnsi" w:hAnsiTheme="minorHAnsi" w:cstheme="minorHAnsi"/>
        <w:b/>
        <w:noProof/>
        <w:sz w:val="20"/>
        <w:szCs w:val="20"/>
      </w:rPr>
      <w:t>3</w:t>
    </w:r>
    <w:r w:rsidR="00CD579A"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CD579A"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CD579A" w:rsidRPr="00B93592">
      <w:rPr>
        <w:rFonts w:asciiTheme="minorHAnsi" w:hAnsiTheme="minorHAnsi" w:cstheme="minorHAnsi"/>
        <w:b/>
        <w:sz w:val="20"/>
        <w:szCs w:val="20"/>
      </w:rPr>
      <w:fldChar w:fldCharType="separate"/>
    </w:r>
    <w:r w:rsidR="002D3D50">
      <w:rPr>
        <w:rFonts w:asciiTheme="minorHAnsi" w:hAnsiTheme="minorHAnsi" w:cstheme="minorHAnsi"/>
        <w:b/>
        <w:noProof/>
        <w:sz w:val="20"/>
        <w:szCs w:val="20"/>
      </w:rPr>
      <w:t>3</w:t>
    </w:r>
    <w:r w:rsidR="00CD579A"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p>
  <w:p w14:paraId="4354A738" w14:textId="5278ABC9" w:rsidR="00B93592" w:rsidRPr="00B93592" w:rsidRDefault="007038E5" w:rsidP="002D3D50">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6CF9" w14:textId="77777777" w:rsidR="005D6266" w:rsidRDefault="005D6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6B9A8" w14:textId="77777777" w:rsidR="00F90B58" w:rsidRDefault="00F90B58" w:rsidP="003050B7">
      <w:pPr>
        <w:spacing w:after="0"/>
      </w:pPr>
      <w:r>
        <w:separator/>
      </w:r>
    </w:p>
  </w:footnote>
  <w:footnote w:type="continuationSeparator" w:id="0">
    <w:p w14:paraId="29BB0D39" w14:textId="77777777" w:rsidR="00F90B58" w:rsidRDefault="00F90B58"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362D" w14:textId="77777777" w:rsidR="005D6266" w:rsidRDefault="005D6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29191FA" w14:textId="77777777" w:rsidTr="00980C86">
      <w:tc>
        <w:tcPr>
          <w:tcW w:w="4230" w:type="dxa"/>
        </w:tcPr>
        <w:p w14:paraId="0D58B8A1" w14:textId="77777777" w:rsidR="00000000" w:rsidRPr="003069FB" w:rsidRDefault="00B93592" w:rsidP="003050B7">
          <w:pPr>
            <w:pStyle w:val="Header"/>
            <w:rPr>
              <w:b/>
              <w:noProof/>
              <w:sz w:val="28"/>
              <w:szCs w:val="28"/>
            </w:rPr>
          </w:pPr>
          <w:r>
            <w:rPr>
              <w:b/>
              <w:noProof/>
              <w:sz w:val="28"/>
              <w:szCs w:val="28"/>
            </w:rPr>
            <w:drawing>
              <wp:inline distT="0" distB="0" distL="0" distR="0" wp14:anchorId="43DE78A1" wp14:editId="48C69027">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1FAFC119" w14:textId="2032437D" w:rsidR="00000000" w:rsidRDefault="00143B15" w:rsidP="00D10214">
          <w:pPr>
            <w:pStyle w:val="Header"/>
            <w:jc w:val="right"/>
            <w:rPr>
              <w:rFonts w:ascii="Calibri" w:hAnsi="Calibri"/>
              <w:b/>
              <w:noProof/>
              <w:sz w:val="32"/>
            </w:rPr>
          </w:pPr>
          <w:r>
            <w:rPr>
              <w:rFonts w:ascii="Calibri" w:hAnsi="Calibri"/>
              <w:b/>
              <w:noProof/>
              <w:sz w:val="32"/>
            </w:rPr>
            <w:t>SMSA Cyber</w:t>
          </w:r>
          <w:r w:rsidR="00A30946">
            <w:rPr>
              <w:rFonts w:ascii="Calibri" w:hAnsi="Calibri"/>
              <w:b/>
              <w:noProof/>
              <w:sz w:val="32"/>
            </w:rPr>
            <w:t xml:space="preserve"> Security</w:t>
          </w:r>
          <w:r w:rsidR="00AD2D1D" w:rsidRPr="008A0662">
            <w:rPr>
              <w:rFonts w:ascii="Calibri" w:hAnsi="Calibri"/>
              <w:b/>
              <w:noProof/>
              <w:sz w:val="32"/>
            </w:rPr>
            <w:t xml:space="preserve"> Policy</w:t>
          </w:r>
        </w:p>
        <w:p w14:paraId="348F8FEF"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2599E89B" w14:textId="77777777" w:rsidR="00000000" w:rsidRPr="00607DB0" w:rsidRDefault="00000000"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F620" w14:textId="77777777" w:rsidR="005D6266" w:rsidRDefault="005D6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1CD0"/>
    <w:multiLevelType w:val="hybridMultilevel"/>
    <w:tmpl w:val="0448B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1" w15:restartNumberingAfterBreak="0">
    <w:nsid w:val="35A40BF7"/>
    <w:multiLevelType w:val="hybridMultilevel"/>
    <w:tmpl w:val="8E1EAC16"/>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Courier New" w:hint="default"/>
      </w:rPr>
    </w:lvl>
    <w:lvl w:ilvl="8" w:tplc="04090005">
      <w:start w:val="1"/>
      <w:numFmt w:val="bullet"/>
      <w:lvlText w:val=""/>
      <w:lvlJc w:val="left"/>
      <w:pPr>
        <w:ind w:left="7704" w:hanging="360"/>
      </w:pPr>
      <w:rPr>
        <w:rFonts w:ascii="Wingdings" w:hAnsi="Wingdings" w:hint="default"/>
      </w:rPr>
    </w:lvl>
  </w:abstractNum>
  <w:abstractNum w:abstractNumId="12"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151366">
    <w:abstractNumId w:val="12"/>
  </w:num>
  <w:num w:numId="2" w16cid:durableId="900215390">
    <w:abstractNumId w:val="4"/>
  </w:num>
  <w:num w:numId="3" w16cid:durableId="79564254">
    <w:abstractNumId w:val="14"/>
  </w:num>
  <w:num w:numId="4" w16cid:durableId="1573923984">
    <w:abstractNumId w:val="20"/>
  </w:num>
  <w:num w:numId="5" w16cid:durableId="368720898">
    <w:abstractNumId w:val="6"/>
  </w:num>
  <w:num w:numId="6" w16cid:durableId="88742987">
    <w:abstractNumId w:val="24"/>
  </w:num>
  <w:num w:numId="7" w16cid:durableId="1764300933">
    <w:abstractNumId w:val="7"/>
  </w:num>
  <w:num w:numId="8" w16cid:durableId="1813329563">
    <w:abstractNumId w:val="16"/>
  </w:num>
  <w:num w:numId="9" w16cid:durableId="1101805120">
    <w:abstractNumId w:val="8"/>
  </w:num>
  <w:num w:numId="10" w16cid:durableId="702824971">
    <w:abstractNumId w:val="5"/>
  </w:num>
  <w:num w:numId="11" w16cid:durableId="602153332">
    <w:abstractNumId w:val="13"/>
  </w:num>
  <w:num w:numId="12" w16cid:durableId="1581988383">
    <w:abstractNumId w:val="3"/>
  </w:num>
  <w:num w:numId="13" w16cid:durableId="1830713518">
    <w:abstractNumId w:val="15"/>
  </w:num>
  <w:num w:numId="14" w16cid:durableId="126170817">
    <w:abstractNumId w:val="2"/>
  </w:num>
  <w:num w:numId="15" w16cid:durableId="1217351045">
    <w:abstractNumId w:val="18"/>
  </w:num>
  <w:num w:numId="16" w16cid:durableId="2087262879">
    <w:abstractNumId w:val="19"/>
  </w:num>
  <w:num w:numId="17" w16cid:durableId="975839953">
    <w:abstractNumId w:val="17"/>
  </w:num>
  <w:num w:numId="18" w16cid:durableId="1972784393">
    <w:abstractNumId w:val="23"/>
  </w:num>
  <w:num w:numId="19" w16cid:durableId="1718579905">
    <w:abstractNumId w:val="22"/>
  </w:num>
  <w:num w:numId="20" w16cid:durableId="1153983164">
    <w:abstractNumId w:val="1"/>
  </w:num>
  <w:num w:numId="21" w16cid:durableId="1572693774">
    <w:abstractNumId w:val="9"/>
  </w:num>
  <w:num w:numId="22" w16cid:durableId="1010982190">
    <w:abstractNumId w:val="21"/>
  </w:num>
  <w:num w:numId="23" w16cid:durableId="622226071">
    <w:abstractNumId w:val="10"/>
  </w:num>
  <w:num w:numId="24" w16cid:durableId="2133550228">
    <w:abstractNumId w:val="0"/>
  </w:num>
  <w:num w:numId="25" w16cid:durableId="1268738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14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67D83"/>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15"/>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2E0B"/>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3D50"/>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1EA2"/>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66"/>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0852"/>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0F14"/>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0B0D"/>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0E90"/>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0946"/>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2D45"/>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79A"/>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D4C"/>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0B58"/>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775FF"/>
  <w15:docId w15:val="{F48A7C19-D5EC-4C84-A2B6-16655E7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5EDC6-1894-4562-A1A9-4E76CAA4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2</cp:revision>
  <dcterms:created xsi:type="dcterms:W3CDTF">2025-09-08T09:29:00Z</dcterms:created>
  <dcterms:modified xsi:type="dcterms:W3CDTF">2025-09-08T09:29:00Z</dcterms:modified>
</cp:coreProperties>
</file>