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4A95E6A7" w14:textId="77777777" w:rsidTr="00980C86">
        <w:tc>
          <w:tcPr>
            <w:tcW w:w="1980" w:type="dxa"/>
          </w:tcPr>
          <w:p w14:paraId="2DB13D79"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03901C2F" w14:textId="77777777" w:rsidR="003050B7" w:rsidRPr="00E514DA" w:rsidRDefault="002970C9" w:rsidP="002970C9">
            <w:pPr>
              <w:spacing w:before="120" w:after="120"/>
              <w:ind w:left="72" w:right="162"/>
              <w:jc w:val="both"/>
              <w:rPr>
                <w:rFonts w:ascii="Calibri" w:hAnsi="Calibri"/>
                <w:lang w:val="en-IN"/>
              </w:rPr>
            </w:pPr>
            <w:r w:rsidRPr="002970C9">
              <w:rPr>
                <w:rFonts w:ascii="Calibri" w:hAnsi="Calibri"/>
                <w:lang w:val="en-IN"/>
              </w:rPr>
              <w:t>This policy aims to ensure that outsourced activities performed by suppliers also consider information security controls, and that they are properly managed by the organization.</w:t>
            </w:r>
          </w:p>
        </w:tc>
      </w:tr>
      <w:tr w:rsidR="003050B7" w:rsidRPr="002928E9" w14:paraId="2D0FADE3" w14:textId="77777777" w:rsidTr="00980C86">
        <w:tc>
          <w:tcPr>
            <w:tcW w:w="1980" w:type="dxa"/>
          </w:tcPr>
          <w:p w14:paraId="73BE7B9E"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6D994C44"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FF2CEB">
              <w:rPr>
                <w:rFonts w:ascii="Calibri" w:hAnsi="Calibri"/>
                <w:lang w:val="en-IN"/>
              </w:rPr>
              <w:t>1</w:t>
            </w:r>
            <w:r w:rsidR="002970C9">
              <w:rPr>
                <w:rFonts w:ascii="Calibri" w:hAnsi="Calibri"/>
                <w:lang w:val="en-IN"/>
              </w:rPr>
              <w:t>5</w:t>
            </w:r>
          </w:p>
        </w:tc>
      </w:tr>
      <w:tr w:rsidR="003050B7" w:rsidRPr="002928E9" w14:paraId="11C56886" w14:textId="77777777" w:rsidTr="00980C86">
        <w:tc>
          <w:tcPr>
            <w:tcW w:w="1980" w:type="dxa"/>
          </w:tcPr>
          <w:p w14:paraId="4D8EA792"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74BF582A"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6BA63213"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61DBF59E"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4E6A8BD5"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6883579F"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646FFCF5" w14:textId="77777777" w:rsidTr="00980C86">
        <w:tc>
          <w:tcPr>
            <w:tcW w:w="1980" w:type="dxa"/>
          </w:tcPr>
          <w:p w14:paraId="5D479686"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E667536"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5BAB6CF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5A80ED9E"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1F2899B9"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739E0115"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0F9C6949"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7E7FC34C"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06743A24"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33E7308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473E50E9"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3CB2E39F"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35D3109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7D307C25"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48178AFB"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4A3B9C9E"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6BF446A4"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1546FB57"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5F24F286"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lastRenderedPageBreak/>
              <w:t>Employees &amp; Contractors – Comply to policies</w:t>
            </w:r>
          </w:p>
          <w:p w14:paraId="2778E82E"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594D5619" w14:textId="77777777" w:rsidTr="00980C86">
        <w:tc>
          <w:tcPr>
            <w:tcW w:w="1980" w:type="dxa"/>
          </w:tcPr>
          <w:p w14:paraId="37483173"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679DD893"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2D8A6A67" w14:textId="77777777" w:rsidR="00293E15" w:rsidRPr="00FF2CEB" w:rsidRDefault="00293E15" w:rsidP="002970C9">
            <w:pPr>
              <w:ind w:right="162"/>
              <w:rPr>
                <w:rFonts w:ascii="Calibri" w:hAnsi="Calibri" w:cs="Tahoma"/>
                <w:b/>
                <w:bCs/>
                <w:u w:val="single"/>
                <w:lang w:val="en-IN"/>
              </w:rPr>
            </w:pPr>
            <w:r w:rsidRPr="006D1B43">
              <w:rPr>
                <w:rFonts w:ascii="Calibri" w:hAnsi="Calibri" w:cs="Tahoma"/>
                <w:b/>
                <w:bCs/>
                <w:u w:val="single"/>
                <w:lang w:val="en-IN"/>
              </w:rPr>
              <w:t xml:space="preserve">1.1 </w:t>
            </w:r>
            <w:r w:rsidR="002970C9">
              <w:rPr>
                <w:rFonts w:ascii="Calibri" w:hAnsi="Calibri" w:cs="Tahoma"/>
                <w:b/>
                <w:bCs/>
                <w:u w:val="single"/>
                <w:lang w:val="en-IN"/>
              </w:rPr>
              <w:t>Information security in supplier relationships</w:t>
            </w:r>
          </w:p>
          <w:p w14:paraId="3220B395" w14:textId="77777777" w:rsidR="00293E15" w:rsidRPr="00293E15" w:rsidRDefault="00293E15" w:rsidP="002970C9">
            <w:pPr>
              <w:ind w:right="162"/>
              <w:rPr>
                <w:rFonts w:ascii="Calibri" w:hAnsi="Calibri" w:cs="Tahoma"/>
                <w:b/>
                <w:bCs/>
                <w:lang w:val="en-IN"/>
              </w:rPr>
            </w:pPr>
            <w:r>
              <w:rPr>
                <w:rFonts w:ascii="Calibri" w:hAnsi="Calibri" w:cs="Tahoma"/>
                <w:b/>
                <w:bCs/>
                <w:lang w:val="en-IN"/>
              </w:rPr>
              <w:t xml:space="preserve">1.1.1 </w:t>
            </w:r>
            <w:r w:rsidR="002970C9">
              <w:rPr>
                <w:rFonts w:ascii="Calibri" w:hAnsi="Calibri" w:cs="Tahoma"/>
                <w:b/>
                <w:bCs/>
                <w:lang w:val="en-IN"/>
              </w:rPr>
              <w:t>Information security policy for supplier relationships</w:t>
            </w:r>
          </w:p>
          <w:p w14:paraId="2B961D84"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requirements for mitigating the risks associated with supplier’s access to SMSA’s assets shall be agreed with the supplier and documented by NATIONAL IT MANAGER.</w:t>
            </w:r>
          </w:p>
          <w:p w14:paraId="38F7283F"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w:t>
            </w:r>
            <w:r>
              <w:rPr>
                <w:rFonts w:ascii="Calibri" w:hAnsi="Calibri" w:cs="Tahoma"/>
                <w:lang w:val="en-IN"/>
              </w:rPr>
              <w:t xml:space="preserve"> </w:t>
            </w:r>
            <w:r w:rsidRPr="002970C9">
              <w:rPr>
                <w:rFonts w:ascii="Calibri" w:hAnsi="Calibri" w:cs="Tahoma"/>
                <w:lang w:val="en-IN"/>
              </w:rPr>
              <w:t>shall be identifying and documenting the types of suppliers.</w:t>
            </w:r>
          </w:p>
          <w:p w14:paraId="7CCFC3D0"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shall have a standardised process and lifecycle for managing supplier relationships.</w:t>
            </w:r>
          </w:p>
          <w:p w14:paraId="4997F4FA"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shall define the types of information access that different types of suppliers will be allowed, and monitoring and controlling the access.</w:t>
            </w:r>
          </w:p>
          <w:p w14:paraId="659E02BE"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Minimum information security requirements for each type of information and type of access to serve as the basis for individual supplier agreements based on business needs and risk profile.</w:t>
            </w:r>
          </w:p>
          <w:p w14:paraId="79DC30C0"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shall have monitoring procedure established for each type of supplier and type of access, including third party review and product validation.</w:t>
            </w:r>
          </w:p>
          <w:p w14:paraId="0F472E03"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shall assure accuracy and completeness controls to ensure the integrity of the information or information processing provided by other party.</w:t>
            </w:r>
          </w:p>
          <w:p w14:paraId="38BCF119"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shall be handling incidents and contingencies associated with supplier access including responsibilities.</w:t>
            </w:r>
          </w:p>
          <w:p w14:paraId="437A14EA"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and IT shall assure recovery and contingency arrangements to ensure the availability of the information or information processing provided by supplier.</w:t>
            </w:r>
          </w:p>
          <w:p w14:paraId="3D811DC3"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shall plan awareness training for employees and contractors involved in acquisitions regarding applicable policies, processes and procedures.</w:t>
            </w:r>
          </w:p>
          <w:p w14:paraId="1D5FA9FE"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shall assure information security requirements and controls are documented in an agreement signed by supplier.</w:t>
            </w:r>
          </w:p>
          <w:p w14:paraId="7A093B2E"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Information security and IT shall be managing the necessary transitions of information, information processing facilities and anything else that needs to be moved, and ensuring that information security is maintained throughout the transition period.</w:t>
            </w:r>
          </w:p>
          <w:p w14:paraId="4F303F9B" w14:textId="77777777" w:rsidR="00FF2CEB" w:rsidRPr="00FF2CEB" w:rsidRDefault="00FF2CEB" w:rsidP="002970C9">
            <w:pPr>
              <w:ind w:right="162"/>
              <w:rPr>
                <w:rFonts w:ascii="Calibri" w:hAnsi="Calibri" w:cs="Tahoma"/>
                <w:b/>
                <w:bCs/>
                <w:lang w:val="en-IN"/>
              </w:rPr>
            </w:pPr>
            <w:r>
              <w:rPr>
                <w:rFonts w:ascii="Calibri" w:hAnsi="Calibri" w:cs="Tahoma"/>
                <w:b/>
                <w:bCs/>
                <w:lang w:val="en-IN"/>
              </w:rPr>
              <w:t>1.1.2</w:t>
            </w:r>
            <w:r w:rsidRPr="00FF2CEB">
              <w:rPr>
                <w:rFonts w:ascii="Calibri" w:hAnsi="Calibri" w:cs="Tahoma"/>
                <w:b/>
                <w:bCs/>
                <w:lang w:val="en-IN"/>
              </w:rPr>
              <w:t xml:space="preserve"> </w:t>
            </w:r>
            <w:r w:rsidR="002970C9" w:rsidRPr="002970C9">
              <w:rPr>
                <w:rFonts w:ascii="Calibri" w:hAnsi="Calibri" w:cs="Tahoma"/>
                <w:b/>
                <w:bCs/>
                <w:lang w:val="en-IN"/>
              </w:rPr>
              <w:t>Addressing security within supplier agreements</w:t>
            </w:r>
          </w:p>
          <w:p w14:paraId="09050CBB"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relevant information security requirements shall be established and agreed with each supplier that may access, process, store, communicate, or provide IT infrastructure components for SMSA IT</w:t>
            </w:r>
          </w:p>
          <w:p w14:paraId="21C6193C"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 xml:space="preserve">Supplier agreements should be established and documented to ensure that there is no misunderstanding between SMSA and the supplier regarding both parties’ </w:t>
            </w:r>
            <w:r w:rsidRPr="002970C9">
              <w:rPr>
                <w:rFonts w:ascii="Calibri" w:hAnsi="Calibri" w:cs="Tahoma"/>
                <w:lang w:val="en-IN"/>
              </w:rPr>
              <w:lastRenderedPageBreak/>
              <w:t>obligations to fulfil relevant information security requirements.</w:t>
            </w:r>
          </w:p>
          <w:p w14:paraId="47C2C838"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agreement with supplier to include:</w:t>
            </w:r>
          </w:p>
          <w:p w14:paraId="1687F9BE"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Description of the information to be provided or accessed and methods of providing or accessing the information.</w:t>
            </w:r>
          </w:p>
          <w:p w14:paraId="7984A8FD"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Classification of information according to SMSA classification scheme.</w:t>
            </w:r>
          </w:p>
          <w:p w14:paraId="7153F03D"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Legal and regulatory requirements, including data protection, intellectual property rights and copyright, and a description of how it will be ensured that they are met.</w:t>
            </w:r>
          </w:p>
          <w:p w14:paraId="3C343797"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Obligation of each contractual party to implement an agreed set of controls including access control, performance review, monitoring, reporting and auditing.</w:t>
            </w:r>
          </w:p>
          <w:p w14:paraId="3A457732"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Rules of acceptable use of information, including unacceptable use if necessary.</w:t>
            </w:r>
          </w:p>
          <w:p w14:paraId="15FA7CC1"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Either explicit list of supplier personnel authorized to access or receive SMSA’s information or procedures or conditions for authorization, and removal of the authorization, for access to or receipt of the organization’s information by supplier personnel.</w:t>
            </w:r>
          </w:p>
          <w:p w14:paraId="4590A572"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Information security policies relevant to the specific contract.</w:t>
            </w:r>
          </w:p>
          <w:p w14:paraId="5927DC21"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Incident management requirements and procedures.</w:t>
            </w:r>
          </w:p>
          <w:p w14:paraId="6934D665"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Training and awareness requirements for information security requirements</w:t>
            </w:r>
          </w:p>
          <w:p w14:paraId="2B11DCED"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Regulations for sub-contracting, including the controls that need to be implemented.</w:t>
            </w:r>
          </w:p>
          <w:p w14:paraId="675529B7"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Relevant agreement partners, including a contact person for information security issues.</w:t>
            </w:r>
          </w:p>
          <w:p w14:paraId="492E4578"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Screening requirements, if any, for supplier’s personnel.</w:t>
            </w:r>
          </w:p>
          <w:p w14:paraId="0F2BED54"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Right to audit the supplier processes and controls related to the agreement;</w:t>
            </w:r>
          </w:p>
          <w:p w14:paraId="233C761A" w14:textId="77777777" w:rsidR="002970C9" w:rsidRPr="002970C9" w:rsidRDefault="002970C9" w:rsidP="002970C9">
            <w:pPr>
              <w:pStyle w:val="ListParagraph"/>
              <w:numPr>
                <w:ilvl w:val="0"/>
                <w:numId w:val="28"/>
              </w:numPr>
              <w:ind w:right="162"/>
              <w:rPr>
                <w:rFonts w:ascii="Calibri" w:hAnsi="Calibri" w:cs="Tahoma"/>
                <w:lang w:val="en-IN"/>
              </w:rPr>
            </w:pPr>
            <w:r w:rsidRPr="002970C9">
              <w:rPr>
                <w:rFonts w:ascii="Calibri" w:hAnsi="Calibri" w:cs="Tahoma"/>
                <w:lang w:val="en-IN"/>
              </w:rPr>
              <w:t>Defect resolution and conflict resolution processes.</w:t>
            </w:r>
          </w:p>
          <w:p w14:paraId="618B7AF7" w14:textId="77777777" w:rsidR="00FF2CEB" w:rsidRPr="002970C9" w:rsidRDefault="00FF2CEB" w:rsidP="002970C9">
            <w:pPr>
              <w:ind w:right="162"/>
              <w:rPr>
                <w:rFonts w:ascii="Calibri" w:hAnsi="Calibri" w:cs="Tahoma"/>
                <w:b/>
                <w:bCs/>
                <w:lang w:val="en-IN"/>
              </w:rPr>
            </w:pPr>
            <w:r>
              <w:rPr>
                <w:rFonts w:ascii="Calibri" w:hAnsi="Calibri" w:cs="Tahoma"/>
                <w:b/>
                <w:bCs/>
                <w:lang w:val="en-IN"/>
              </w:rPr>
              <w:t>1.1.3</w:t>
            </w:r>
            <w:r w:rsidRPr="00FF2CEB">
              <w:rPr>
                <w:rFonts w:ascii="Calibri" w:hAnsi="Calibri" w:cs="Tahoma"/>
                <w:b/>
                <w:bCs/>
                <w:lang w:val="en-IN"/>
              </w:rPr>
              <w:t xml:space="preserve"> </w:t>
            </w:r>
            <w:r w:rsidR="002970C9" w:rsidRPr="002970C9">
              <w:rPr>
                <w:rFonts w:ascii="Calibri" w:hAnsi="Calibri" w:cs="Tahoma"/>
                <w:b/>
                <w:bCs/>
                <w:lang w:val="en-IN"/>
              </w:rPr>
              <w:t>Information and communication technology supply chain</w:t>
            </w:r>
          </w:p>
          <w:p w14:paraId="3EF9466C"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and Information security shall be defining information security requirements to apply to information and communication technology product or service acquisition in addition to the general information security requirements for supplier relationships</w:t>
            </w:r>
          </w:p>
          <w:p w14:paraId="7C0F7E43"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and Information security shall be implementing a monitoring process and acceptable methods for validating that delivered information and communication technology products and services are adhering to stated security requirements;</w:t>
            </w:r>
          </w:p>
          <w:p w14:paraId="796BD928"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 xml:space="preserve">SMSA IT and Information </w:t>
            </w:r>
            <w:proofErr w:type="gramStart"/>
            <w:r w:rsidRPr="002970C9">
              <w:rPr>
                <w:rFonts w:ascii="Calibri" w:hAnsi="Calibri" w:cs="Tahoma"/>
                <w:lang w:val="en-IN"/>
              </w:rPr>
              <w:t>security  shall</w:t>
            </w:r>
            <w:proofErr w:type="gramEnd"/>
            <w:r w:rsidRPr="002970C9">
              <w:rPr>
                <w:rFonts w:ascii="Calibri" w:hAnsi="Calibri" w:cs="Tahoma"/>
                <w:lang w:val="en-IN"/>
              </w:rPr>
              <w:t xml:space="preserve"> be implementing a process for identifying product or service components that are critical for maintaining functionality</w:t>
            </w:r>
          </w:p>
          <w:p w14:paraId="3976C772"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shall be obtaining assurance that the delivered information and communication technology products are functioning as expected</w:t>
            </w:r>
          </w:p>
          <w:p w14:paraId="1CCE3A41"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shall be defining rules for sharing of information regarding the supply chain and any potential issues and compromises among SMSA and suppliers</w:t>
            </w:r>
          </w:p>
          <w:p w14:paraId="2E9DA149"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shall be implementing specific processes for managing information and communication technology component lifecycle and availability and associated security risks</w:t>
            </w:r>
          </w:p>
          <w:p w14:paraId="704146E8"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 xml:space="preserve">SMSA IT shall </w:t>
            </w:r>
            <w:proofErr w:type="gramStart"/>
            <w:r w:rsidRPr="002970C9">
              <w:rPr>
                <w:rFonts w:ascii="Calibri" w:hAnsi="Calibri" w:cs="Tahoma"/>
                <w:lang w:val="en-IN"/>
              </w:rPr>
              <w:t>managing</w:t>
            </w:r>
            <w:proofErr w:type="gramEnd"/>
            <w:r w:rsidRPr="002970C9">
              <w:rPr>
                <w:rFonts w:ascii="Calibri" w:hAnsi="Calibri" w:cs="Tahoma"/>
                <w:lang w:val="en-IN"/>
              </w:rPr>
              <w:t xml:space="preserve"> the risks of components no longer being available due to </w:t>
            </w:r>
            <w:r w:rsidRPr="002970C9">
              <w:rPr>
                <w:rFonts w:ascii="Calibri" w:hAnsi="Calibri" w:cs="Tahoma"/>
                <w:lang w:val="en-IN"/>
              </w:rPr>
              <w:lastRenderedPageBreak/>
              <w:t>suppliers no longer being in business or suppliers no longer providing these components due to technology advancements.</w:t>
            </w:r>
          </w:p>
          <w:p w14:paraId="134A26DF" w14:textId="77777777" w:rsidR="00FF2CEB" w:rsidRDefault="00E514DA" w:rsidP="002970C9">
            <w:pPr>
              <w:ind w:right="162"/>
              <w:rPr>
                <w:rFonts w:ascii="Calibri" w:hAnsi="Calibri" w:cs="Tahoma"/>
                <w:b/>
                <w:bCs/>
                <w:u w:val="single"/>
                <w:lang w:val="en-IN"/>
              </w:rPr>
            </w:pPr>
            <w:r w:rsidRPr="00E514DA">
              <w:rPr>
                <w:rFonts w:ascii="Calibri" w:hAnsi="Calibri" w:cs="Tahoma"/>
                <w:b/>
                <w:bCs/>
                <w:u w:val="single"/>
                <w:lang w:val="en-IN"/>
              </w:rPr>
              <w:t>1.2</w:t>
            </w:r>
            <w:r w:rsidR="00FF2CEB" w:rsidRPr="00E514DA">
              <w:rPr>
                <w:rFonts w:ascii="Calibri" w:hAnsi="Calibri" w:cs="Tahoma"/>
                <w:b/>
                <w:bCs/>
                <w:u w:val="single"/>
                <w:lang w:val="en-IN"/>
              </w:rPr>
              <w:t xml:space="preserve"> </w:t>
            </w:r>
            <w:r w:rsidR="002970C9" w:rsidRPr="002970C9">
              <w:rPr>
                <w:rFonts w:ascii="Calibri" w:hAnsi="Calibri" w:cs="Tahoma"/>
                <w:b/>
                <w:bCs/>
                <w:u w:val="single"/>
                <w:lang w:val="en-IN"/>
              </w:rPr>
              <w:t>Supplier service delivery management</w:t>
            </w:r>
          </w:p>
          <w:p w14:paraId="1EC204C4" w14:textId="77777777" w:rsidR="00E514DA" w:rsidRPr="002970C9" w:rsidRDefault="00E514DA" w:rsidP="002970C9">
            <w:pPr>
              <w:ind w:right="162"/>
              <w:rPr>
                <w:rFonts w:ascii="Calibri" w:hAnsi="Calibri" w:cs="Tahoma"/>
                <w:b/>
                <w:bCs/>
                <w:lang w:val="en-IN"/>
              </w:rPr>
            </w:pPr>
            <w:r w:rsidRPr="00E514DA">
              <w:rPr>
                <w:rFonts w:ascii="Calibri" w:hAnsi="Calibri" w:cs="Tahoma"/>
                <w:b/>
                <w:bCs/>
                <w:lang w:val="en-IN"/>
              </w:rPr>
              <w:t>1.2.1</w:t>
            </w:r>
            <w:r>
              <w:rPr>
                <w:rFonts w:ascii="Calibri" w:hAnsi="Calibri" w:cs="Tahoma"/>
                <w:b/>
                <w:bCs/>
                <w:lang w:val="en-IN"/>
              </w:rPr>
              <w:t xml:space="preserve"> </w:t>
            </w:r>
            <w:r w:rsidR="002970C9" w:rsidRPr="002970C9">
              <w:rPr>
                <w:rFonts w:ascii="Calibri" w:hAnsi="Calibri" w:cs="Tahoma"/>
                <w:b/>
                <w:bCs/>
                <w:lang w:val="en-IN"/>
              </w:rPr>
              <w:t>Monitoring and review of supplier services</w:t>
            </w:r>
          </w:p>
          <w:p w14:paraId="143D9F2F"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Activities related to review of the supplier performance</w:t>
            </w:r>
          </w:p>
          <w:p w14:paraId="1B108899"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The ‘Supplier Review’ is initiated by the Project Manager</w:t>
            </w:r>
          </w:p>
          <w:p w14:paraId="645503BC"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The reviewers would rate the supplier based on previous performance</w:t>
            </w:r>
          </w:p>
          <w:p w14:paraId="2C7D3F4E" w14:textId="77777777" w:rsidR="006215BF" w:rsidRPr="006215BF" w:rsidRDefault="006215BF" w:rsidP="002970C9">
            <w:pPr>
              <w:ind w:right="162"/>
              <w:rPr>
                <w:rFonts w:ascii="Calibri" w:hAnsi="Calibri" w:cs="Tahoma"/>
                <w:b/>
                <w:bCs/>
                <w:lang w:val="en-IN"/>
              </w:rPr>
            </w:pPr>
            <w:r>
              <w:rPr>
                <w:rFonts w:ascii="Calibri" w:hAnsi="Calibri" w:cs="Tahoma"/>
                <w:b/>
                <w:bCs/>
                <w:lang w:val="en-IN"/>
              </w:rPr>
              <w:t>1.</w:t>
            </w:r>
            <w:r w:rsidR="00E514DA">
              <w:rPr>
                <w:rFonts w:ascii="Calibri" w:hAnsi="Calibri" w:cs="Tahoma"/>
                <w:b/>
                <w:bCs/>
                <w:lang w:val="en-IN"/>
              </w:rPr>
              <w:t>2.2</w:t>
            </w:r>
            <w:r>
              <w:rPr>
                <w:rFonts w:ascii="Calibri" w:hAnsi="Calibri" w:cs="Tahoma"/>
                <w:b/>
                <w:bCs/>
                <w:lang w:val="en-IN"/>
              </w:rPr>
              <w:t xml:space="preserve"> </w:t>
            </w:r>
            <w:r w:rsidR="002970C9" w:rsidRPr="002970C9">
              <w:rPr>
                <w:rFonts w:ascii="Calibri" w:hAnsi="Calibri" w:cs="Tahoma"/>
                <w:b/>
                <w:bCs/>
                <w:lang w:val="en-IN"/>
              </w:rPr>
              <w:t>Managing changes to supplier services</w:t>
            </w:r>
          </w:p>
          <w:p w14:paraId="5BF25E6A"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shall introduce changes because of business needs to:</w:t>
            </w:r>
          </w:p>
          <w:p w14:paraId="7C1CE27E"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Enhancements to the current services offered</w:t>
            </w:r>
          </w:p>
          <w:p w14:paraId="7B2A01BE"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Development of any new applications and systems</w:t>
            </w:r>
          </w:p>
          <w:p w14:paraId="1591CD89"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Modifications or updates of the organization’s policies and procedures</w:t>
            </w:r>
          </w:p>
          <w:p w14:paraId="1586CFD2"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New or changed controls to resolve information security incidents and to improve security</w:t>
            </w:r>
          </w:p>
          <w:p w14:paraId="6FDF76F7"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shall control changes introduced by supplier</w:t>
            </w:r>
          </w:p>
          <w:p w14:paraId="6AE3CD1A" w14:textId="77777777" w:rsidR="002970C9" w:rsidRPr="002970C9" w:rsidRDefault="002970C9" w:rsidP="002970C9">
            <w:pPr>
              <w:pStyle w:val="ListParagraph"/>
              <w:numPr>
                <w:ilvl w:val="0"/>
                <w:numId w:val="9"/>
              </w:numPr>
              <w:ind w:right="162"/>
              <w:rPr>
                <w:rFonts w:ascii="Calibri" w:hAnsi="Calibri" w:cs="Tahoma"/>
                <w:lang w:val="en-IN"/>
              </w:rPr>
            </w:pPr>
            <w:r w:rsidRPr="002970C9">
              <w:rPr>
                <w:rFonts w:ascii="Calibri" w:hAnsi="Calibri" w:cs="Tahoma"/>
                <w:lang w:val="en-IN"/>
              </w:rPr>
              <w:t>SMSA IT and Information Security shall assess the change impact on security needs</w:t>
            </w:r>
          </w:p>
          <w:p w14:paraId="40404386"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0"/>
          </w:p>
          <w:p w14:paraId="7C6B46DD"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3A8A8EA9"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708FC554"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569222D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3F4FB81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70557130"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E438CC"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0663B56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3A336C0A"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61C48EE0"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4CAA2002"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59AD78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04A1D2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064BFD0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2C363242"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3632E378"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06ECDF51" w14:textId="77777777" w:rsidR="003050B7" w:rsidRPr="002928E9" w:rsidRDefault="003050B7" w:rsidP="001241FF"/>
    <w:p w14:paraId="483FDEEC"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2CA0" w14:textId="77777777" w:rsidR="00F06C03" w:rsidRDefault="00F06C03" w:rsidP="003050B7">
      <w:pPr>
        <w:spacing w:after="0"/>
      </w:pPr>
      <w:r>
        <w:separator/>
      </w:r>
    </w:p>
  </w:endnote>
  <w:endnote w:type="continuationSeparator" w:id="0">
    <w:p w14:paraId="71394265" w14:textId="77777777" w:rsidR="00F06C03" w:rsidRDefault="00F06C03"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C7F" w14:textId="3A0547E3"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CE0C66"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CE0C66" w:rsidRPr="00B93592">
      <w:rPr>
        <w:rFonts w:asciiTheme="minorHAnsi" w:hAnsiTheme="minorHAnsi" w:cstheme="minorHAnsi"/>
        <w:b/>
        <w:sz w:val="20"/>
        <w:szCs w:val="20"/>
      </w:rPr>
      <w:fldChar w:fldCharType="separate"/>
    </w:r>
    <w:r w:rsidR="002970C9">
      <w:rPr>
        <w:rFonts w:asciiTheme="minorHAnsi" w:hAnsiTheme="minorHAnsi" w:cstheme="minorHAnsi"/>
        <w:b/>
        <w:noProof/>
        <w:sz w:val="20"/>
        <w:szCs w:val="20"/>
      </w:rPr>
      <w:t>1</w:t>
    </w:r>
    <w:r w:rsidR="00CE0C66"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CE0C66"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CE0C66" w:rsidRPr="00B93592">
      <w:rPr>
        <w:rFonts w:asciiTheme="minorHAnsi" w:hAnsiTheme="minorHAnsi" w:cstheme="minorHAnsi"/>
        <w:b/>
        <w:sz w:val="20"/>
        <w:szCs w:val="20"/>
      </w:rPr>
      <w:fldChar w:fldCharType="separate"/>
    </w:r>
    <w:r w:rsidR="002970C9">
      <w:rPr>
        <w:rFonts w:asciiTheme="minorHAnsi" w:hAnsiTheme="minorHAnsi" w:cstheme="minorHAnsi"/>
        <w:b/>
        <w:noProof/>
        <w:sz w:val="20"/>
        <w:szCs w:val="20"/>
      </w:rPr>
      <w:t>4</w:t>
    </w:r>
    <w:r w:rsidR="00CE0C66"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1A9E69EF" w14:textId="77A3A8DA" w:rsidR="00B93592" w:rsidRPr="00B93592" w:rsidRDefault="007038E5" w:rsidP="00AD5D2C">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6BE3" w14:textId="77777777" w:rsidR="00F06C03" w:rsidRDefault="00F06C03" w:rsidP="003050B7">
      <w:pPr>
        <w:spacing w:after="0"/>
      </w:pPr>
      <w:r>
        <w:separator/>
      </w:r>
    </w:p>
  </w:footnote>
  <w:footnote w:type="continuationSeparator" w:id="0">
    <w:p w14:paraId="43F81681" w14:textId="77777777" w:rsidR="00F06C03" w:rsidRDefault="00F06C03"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29F0D08F" w14:textId="77777777" w:rsidTr="00980C86">
      <w:tc>
        <w:tcPr>
          <w:tcW w:w="4230" w:type="dxa"/>
        </w:tcPr>
        <w:p w14:paraId="700EC0CE" w14:textId="77777777" w:rsidR="00000000" w:rsidRPr="003069FB" w:rsidRDefault="00B93592" w:rsidP="003050B7">
          <w:pPr>
            <w:pStyle w:val="Header"/>
            <w:rPr>
              <w:b/>
              <w:noProof/>
              <w:sz w:val="28"/>
              <w:szCs w:val="28"/>
            </w:rPr>
          </w:pPr>
          <w:r>
            <w:rPr>
              <w:b/>
              <w:noProof/>
              <w:sz w:val="28"/>
              <w:szCs w:val="28"/>
            </w:rPr>
            <w:drawing>
              <wp:inline distT="0" distB="0" distL="0" distR="0" wp14:anchorId="4C25C688" wp14:editId="603E3FDF">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01078F4F" w14:textId="77777777" w:rsidR="00000000" w:rsidRDefault="002970C9" w:rsidP="00D10214">
          <w:pPr>
            <w:pStyle w:val="Header"/>
            <w:jc w:val="right"/>
            <w:rPr>
              <w:rFonts w:ascii="Calibri" w:hAnsi="Calibri"/>
              <w:b/>
              <w:noProof/>
              <w:sz w:val="32"/>
            </w:rPr>
          </w:pPr>
          <w:r>
            <w:rPr>
              <w:rFonts w:ascii="Calibri" w:hAnsi="Calibri"/>
              <w:b/>
              <w:noProof/>
              <w:sz w:val="32"/>
            </w:rPr>
            <w:t>Supplier Relationships</w:t>
          </w:r>
          <w:r w:rsidR="00FF2CEB">
            <w:rPr>
              <w:rFonts w:ascii="Calibri" w:hAnsi="Calibri"/>
              <w:b/>
              <w:noProof/>
              <w:sz w:val="32"/>
            </w:rPr>
            <w:t xml:space="preserve"> Policy</w:t>
          </w:r>
        </w:p>
        <w:p w14:paraId="1A116F8A"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167DD19C"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7EE008F"/>
    <w:multiLevelType w:val="hybridMultilevel"/>
    <w:tmpl w:val="3828D8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1F27BF"/>
    <w:multiLevelType w:val="hybridMultilevel"/>
    <w:tmpl w:val="A78E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4988644">
    <w:abstractNumId w:val="14"/>
  </w:num>
  <w:num w:numId="2" w16cid:durableId="1200314476">
    <w:abstractNumId w:val="4"/>
  </w:num>
  <w:num w:numId="3" w16cid:durableId="347827118">
    <w:abstractNumId w:val="17"/>
  </w:num>
  <w:num w:numId="4" w16cid:durableId="479883093">
    <w:abstractNumId w:val="23"/>
  </w:num>
  <w:num w:numId="5" w16cid:durableId="1584333099">
    <w:abstractNumId w:val="6"/>
  </w:num>
  <w:num w:numId="6" w16cid:durableId="460995336">
    <w:abstractNumId w:val="27"/>
  </w:num>
  <w:num w:numId="7" w16cid:durableId="2036804394">
    <w:abstractNumId w:val="7"/>
  </w:num>
  <w:num w:numId="8" w16cid:durableId="1417944155">
    <w:abstractNumId w:val="19"/>
  </w:num>
  <w:num w:numId="9" w16cid:durableId="16858848">
    <w:abstractNumId w:val="8"/>
  </w:num>
  <w:num w:numId="10" w16cid:durableId="578293649">
    <w:abstractNumId w:val="5"/>
  </w:num>
  <w:num w:numId="11" w16cid:durableId="1857110246">
    <w:abstractNumId w:val="15"/>
  </w:num>
  <w:num w:numId="12" w16cid:durableId="1426655906">
    <w:abstractNumId w:val="3"/>
  </w:num>
  <w:num w:numId="13" w16cid:durableId="23135563">
    <w:abstractNumId w:val="18"/>
  </w:num>
  <w:num w:numId="14" w16cid:durableId="861631414">
    <w:abstractNumId w:val="2"/>
  </w:num>
  <w:num w:numId="15" w16cid:durableId="1533303420">
    <w:abstractNumId w:val="21"/>
  </w:num>
  <w:num w:numId="16" w16cid:durableId="1716731494">
    <w:abstractNumId w:val="22"/>
  </w:num>
  <w:num w:numId="17" w16cid:durableId="1528832036">
    <w:abstractNumId w:val="20"/>
  </w:num>
  <w:num w:numId="18" w16cid:durableId="48387097">
    <w:abstractNumId w:val="26"/>
  </w:num>
  <w:num w:numId="19" w16cid:durableId="1862739611">
    <w:abstractNumId w:val="25"/>
  </w:num>
  <w:num w:numId="20" w16cid:durableId="1192108424">
    <w:abstractNumId w:val="1"/>
  </w:num>
  <w:num w:numId="21" w16cid:durableId="798107688">
    <w:abstractNumId w:val="9"/>
  </w:num>
  <w:num w:numId="22" w16cid:durableId="630864629">
    <w:abstractNumId w:val="24"/>
  </w:num>
  <w:num w:numId="23" w16cid:durableId="1616407401">
    <w:abstractNumId w:val="12"/>
  </w:num>
  <w:num w:numId="24" w16cid:durableId="653723283">
    <w:abstractNumId w:val="0"/>
  </w:num>
  <w:num w:numId="25" w16cid:durableId="488255548">
    <w:abstractNumId w:val="13"/>
  </w:num>
  <w:num w:numId="26" w16cid:durableId="587424669">
    <w:abstractNumId w:val="11"/>
  </w:num>
  <w:num w:numId="27" w16cid:durableId="627397427">
    <w:abstractNumId w:val="16"/>
  </w:num>
  <w:num w:numId="28" w16cid:durableId="1883244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970C9"/>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5BC"/>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5D2C"/>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AEA"/>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0C66"/>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DF6FC0"/>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06C03"/>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85D51"/>
  <w15:docId w15:val="{E3E7ED73-0F8F-4632-BC61-192D467D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EA6D-32B3-42F7-B6AE-0A3C6AD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dcterms:created xsi:type="dcterms:W3CDTF">2025-09-08T10:17:00Z</dcterms:created>
  <dcterms:modified xsi:type="dcterms:W3CDTF">2025-09-08T10:17:00Z</dcterms:modified>
</cp:coreProperties>
</file>