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7A6FFE94" w14:textId="77777777" w:rsidTr="00980C86">
        <w:tc>
          <w:tcPr>
            <w:tcW w:w="1980" w:type="dxa"/>
          </w:tcPr>
          <w:p w14:paraId="1282328E"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27DA3D57" w14:textId="77777777" w:rsidR="003050B7" w:rsidRPr="006454F5" w:rsidRDefault="006454F5" w:rsidP="006454F5">
            <w:pPr>
              <w:spacing w:before="120" w:after="120"/>
              <w:ind w:left="72" w:right="162"/>
              <w:jc w:val="both"/>
              <w:rPr>
                <w:rFonts w:ascii="Calibri" w:hAnsi="Calibri"/>
                <w:lang w:val="en-IN"/>
              </w:rPr>
            </w:pPr>
            <w:r w:rsidRPr="006454F5">
              <w:rPr>
                <w:rFonts w:ascii="Calibri" w:hAnsi="Calibri"/>
                <w:lang w:val="en-IN"/>
              </w:rPr>
              <w:t>This policy aims to ensure that information security is considered in the system development life cycle as well as any acquiring information systems</w:t>
            </w:r>
          </w:p>
        </w:tc>
      </w:tr>
      <w:tr w:rsidR="003050B7" w:rsidRPr="002928E9" w14:paraId="7BE9742F" w14:textId="77777777" w:rsidTr="00980C86">
        <w:tc>
          <w:tcPr>
            <w:tcW w:w="1980" w:type="dxa"/>
          </w:tcPr>
          <w:p w14:paraId="35867B03"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0329F6B0"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6454F5">
              <w:rPr>
                <w:rFonts w:ascii="Calibri" w:hAnsi="Calibri"/>
                <w:lang w:val="en-IN"/>
              </w:rPr>
              <w:t>14</w:t>
            </w:r>
          </w:p>
        </w:tc>
      </w:tr>
      <w:tr w:rsidR="003050B7" w:rsidRPr="002928E9" w14:paraId="68FC6B9B" w14:textId="77777777" w:rsidTr="00980C86">
        <w:tc>
          <w:tcPr>
            <w:tcW w:w="1980" w:type="dxa"/>
          </w:tcPr>
          <w:p w14:paraId="461B1C66"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191D4010"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122F5279"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3C7BA953"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6F1BA5EC"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12B94799"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5CB719DD" w14:textId="77777777" w:rsidTr="00980C86">
        <w:tc>
          <w:tcPr>
            <w:tcW w:w="1980" w:type="dxa"/>
          </w:tcPr>
          <w:p w14:paraId="36B90DE6"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7456FC4E"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481A2EAD"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2F7D83E2"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7D39313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1621189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0EB83E9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4D458DAE"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005924DB"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76E79476"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2D3767D5"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41972D12"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FA8EB72"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6E5D616F"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0F6FC42E"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4DC5DF11"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3B0B7E85"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43018B02"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14:paraId="2D3EABA3"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584B52D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75E8B4B8" w14:textId="77777777" w:rsidTr="00980C86">
        <w:tc>
          <w:tcPr>
            <w:tcW w:w="1980" w:type="dxa"/>
          </w:tcPr>
          <w:p w14:paraId="77681FDA"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709AF5F6"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03DAE3AB" w14:textId="77777777" w:rsidR="00293E15" w:rsidRPr="00FF2CEB" w:rsidRDefault="00293E15" w:rsidP="006454F5">
            <w:pPr>
              <w:ind w:right="162"/>
              <w:rPr>
                <w:rFonts w:ascii="Calibri" w:hAnsi="Calibri" w:cs="Tahoma"/>
                <w:b/>
                <w:bCs/>
                <w:u w:val="single"/>
                <w:lang w:val="en-IN"/>
              </w:rPr>
            </w:pPr>
            <w:r w:rsidRPr="006D1B43">
              <w:rPr>
                <w:rFonts w:ascii="Calibri" w:hAnsi="Calibri" w:cs="Tahoma"/>
                <w:b/>
                <w:bCs/>
                <w:u w:val="single"/>
                <w:lang w:val="en-IN"/>
              </w:rPr>
              <w:t xml:space="preserve">1.1 </w:t>
            </w:r>
            <w:r w:rsidR="006454F5">
              <w:rPr>
                <w:rFonts w:ascii="Calibri" w:hAnsi="Calibri" w:cs="Tahoma"/>
                <w:b/>
                <w:bCs/>
                <w:u w:val="single"/>
                <w:lang w:val="en-IN"/>
              </w:rPr>
              <w:t>Security requirements of information systems</w:t>
            </w:r>
          </w:p>
          <w:p w14:paraId="7F5CCFFD" w14:textId="77777777" w:rsidR="00293E15" w:rsidRPr="00293E15" w:rsidRDefault="00293E15" w:rsidP="006454F5">
            <w:pPr>
              <w:ind w:right="162"/>
              <w:rPr>
                <w:rFonts w:ascii="Calibri" w:hAnsi="Calibri" w:cs="Tahoma"/>
                <w:b/>
                <w:bCs/>
                <w:lang w:val="en-IN"/>
              </w:rPr>
            </w:pPr>
            <w:r>
              <w:rPr>
                <w:rFonts w:ascii="Calibri" w:hAnsi="Calibri" w:cs="Tahoma"/>
                <w:b/>
                <w:bCs/>
                <w:lang w:val="en-IN"/>
              </w:rPr>
              <w:t xml:space="preserve">1.1.1 </w:t>
            </w:r>
            <w:r w:rsidR="002970C9">
              <w:rPr>
                <w:rFonts w:ascii="Calibri" w:hAnsi="Calibri" w:cs="Tahoma"/>
                <w:b/>
                <w:bCs/>
                <w:lang w:val="en-IN"/>
              </w:rPr>
              <w:t xml:space="preserve">Information security </w:t>
            </w:r>
            <w:r w:rsidR="006454F5">
              <w:rPr>
                <w:rFonts w:ascii="Calibri" w:hAnsi="Calibri" w:cs="Tahoma"/>
                <w:b/>
                <w:bCs/>
                <w:lang w:val="en-IN"/>
              </w:rPr>
              <w:t>requirements analysis and specification</w:t>
            </w:r>
          </w:p>
          <w:p w14:paraId="26A417F2"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Information Security shall have Information security requirements identified such as compliance requirements from policies and regulations, threat modelling, incident reviews, or use of vulnerability thresholds.</w:t>
            </w:r>
          </w:p>
          <w:p w14:paraId="00375C49"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NATIONAL IT MANAGER shall communicate results of the identification with all stakeholders.</w:t>
            </w:r>
          </w:p>
          <w:p w14:paraId="66DC06ED"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NATIONAL IT MANAGER shall assure business impact is assessed as a result from lack of adequate security during risk assessment</w:t>
            </w:r>
          </w:p>
          <w:p w14:paraId="2202AAF6"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Information Security and IT shall enforce identification and management of information security requirements in early stages of information systems projects.</w:t>
            </w:r>
          </w:p>
          <w:p w14:paraId="5B6560B4"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Information Security and IT to enforce identification of risks during design stage</w:t>
            </w:r>
          </w:p>
          <w:p w14:paraId="5B3BC237"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NATIONAL IT MANAGER to assure the security requirements to include the level of confidence required, user authentication requirements, confidentiality, availability and integrity needs, informing users and operators of their duties and responsibilities, the required protection needs of the assets involved, transaction logging and monitoring and non-repudiation requirements</w:t>
            </w:r>
          </w:p>
          <w:p w14:paraId="1E96963E" w14:textId="77777777" w:rsidR="00FF2CEB" w:rsidRDefault="00FF2CEB" w:rsidP="006454F5">
            <w:pPr>
              <w:ind w:right="162"/>
              <w:rPr>
                <w:rFonts w:ascii="Calibri" w:hAnsi="Calibri" w:cs="Tahoma"/>
                <w:b/>
                <w:bCs/>
                <w:lang w:val="en-IN"/>
              </w:rPr>
            </w:pPr>
            <w:r>
              <w:rPr>
                <w:rFonts w:ascii="Calibri" w:hAnsi="Calibri" w:cs="Tahoma"/>
                <w:b/>
                <w:bCs/>
                <w:lang w:val="en-IN"/>
              </w:rPr>
              <w:t>1.1.2</w:t>
            </w:r>
            <w:r w:rsidRPr="00FF2CEB">
              <w:rPr>
                <w:rFonts w:ascii="Calibri" w:hAnsi="Calibri" w:cs="Tahoma"/>
                <w:b/>
                <w:bCs/>
                <w:lang w:val="en-IN"/>
              </w:rPr>
              <w:t xml:space="preserve"> </w:t>
            </w:r>
            <w:r w:rsidR="006454F5" w:rsidRPr="006454F5">
              <w:rPr>
                <w:rFonts w:ascii="Calibri" w:hAnsi="Calibri" w:cs="Tahoma"/>
                <w:b/>
                <w:bCs/>
                <w:lang w:val="en-IN"/>
              </w:rPr>
              <w:t>Securing application services on public networks</w:t>
            </w:r>
          </w:p>
          <w:p w14:paraId="120E8F55"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Information Security and IT shall apply security controls for application services passing over public networks</w:t>
            </w:r>
          </w:p>
          <w:p w14:paraId="539D7C4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SSL certificate to be used by SMSA</w:t>
            </w:r>
          </w:p>
          <w:p w14:paraId="5BB6A0AA"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SSL to be reviewed and validated by NATIONAL IT MANAGER periodically</w:t>
            </w:r>
          </w:p>
          <w:p w14:paraId="083E7BEB"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SMSANATIONAL IT MANAGER and IT manager shall be ensuring that communicating partners are fully informed of their authorizations for provision or use of the service</w:t>
            </w:r>
          </w:p>
          <w:p w14:paraId="602497E6"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determining and meeting requirements for confidentiality, integrity, proof of dispatch and receipt of key documents and the non-repudiation of contracts</w:t>
            </w:r>
          </w:p>
          <w:p w14:paraId="76E42EDD"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shall apply protection of any confidential information</w:t>
            </w:r>
          </w:p>
          <w:p w14:paraId="2AE6CC19"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w:t>
            </w:r>
            <w:r>
              <w:rPr>
                <w:rFonts w:ascii="Calibri" w:hAnsi="Calibri" w:cs="Tahoma"/>
                <w:lang w:val="en-IN"/>
              </w:rPr>
              <w:t xml:space="preserve"> </w:t>
            </w:r>
            <w:r w:rsidRPr="006454F5">
              <w:rPr>
                <w:rFonts w:ascii="Calibri" w:hAnsi="Calibri" w:cs="Tahoma"/>
                <w:lang w:val="en-IN"/>
              </w:rPr>
              <w:t>information security controls applied by NATIONAL IT MANAGER shall assure avoidance of loss or duplication of transaction information</w:t>
            </w:r>
          </w:p>
          <w:p w14:paraId="73309FA3" w14:textId="77777777" w:rsidR="00FF2CEB" w:rsidRPr="002970C9" w:rsidRDefault="00FF2CEB" w:rsidP="006454F5">
            <w:pPr>
              <w:ind w:right="162"/>
              <w:rPr>
                <w:rFonts w:ascii="Calibri" w:hAnsi="Calibri" w:cs="Tahoma"/>
                <w:b/>
                <w:bCs/>
                <w:lang w:val="en-IN"/>
              </w:rPr>
            </w:pPr>
            <w:r>
              <w:rPr>
                <w:rFonts w:ascii="Calibri" w:hAnsi="Calibri" w:cs="Tahoma"/>
                <w:b/>
                <w:bCs/>
                <w:lang w:val="en-IN"/>
              </w:rPr>
              <w:t>1.1.3</w:t>
            </w:r>
            <w:r w:rsidRPr="00FF2CEB">
              <w:rPr>
                <w:rFonts w:ascii="Calibri" w:hAnsi="Calibri" w:cs="Tahoma"/>
                <w:b/>
                <w:bCs/>
                <w:lang w:val="en-IN"/>
              </w:rPr>
              <w:t xml:space="preserve"> </w:t>
            </w:r>
            <w:r w:rsidR="006454F5" w:rsidRPr="006454F5">
              <w:rPr>
                <w:rFonts w:ascii="Calibri" w:hAnsi="Calibri" w:cs="Tahoma"/>
                <w:b/>
                <w:bCs/>
                <w:lang w:val="en-IN"/>
              </w:rPr>
              <w:t>Protecting application services transactions</w:t>
            </w:r>
          </w:p>
          <w:p w14:paraId="2B693823"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IT shall enforce electronic signatures by each of the parties involved in the transaction</w:t>
            </w:r>
          </w:p>
          <w:p w14:paraId="7E9B5D5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lastRenderedPageBreak/>
              <w:t xml:space="preserve">SMSA user’s secret authentication information of all parties </w:t>
            </w:r>
            <w:proofErr w:type="gramStart"/>
            <w:r w:rsidRPr="006454F5">
              <w:rPr>
                <w:rFonts w:ascii="Calibri" w:hAnsi="Calibri" w:cs="Tahoma"/>
                <w:lang w:val="en-IN"/>
              </w:rPr>
              <w:t>are</w:t>
            </w:r>
            <w:proofErr w:type="gramEnd"/>
            <w:r w:rsidRPr="006454F5">
              <w:rPr>
                <w:rFonts w:ascii="Calibri" w:hAnsi="Calibri" w:cs="Tahoma"/>
                <w:lang w:val="en-IN"/>
              </w:rPr>
              <w:t xml:space="preserve"> valid and verified</w:t>
            </w:r>
          </w:p>
          <w:p w14:paraId="2959EA5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transactions remains confidential</w:t>
            </w:r>
          </w:p>
          <w:p w14:paraId="7980DE81"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privacy associated with all parties involved is retained</w:t>
            </w:r>
          </w:p>
          <w:p w14:paraId="5FE4EA35"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communications path between all involved parties is encrypted</w:t>
            </w:r>
          </w:p>
          <w:p w14:paraId="6BF9CA18"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Protocols used to communicate between all involved parties are secured</w:t>
            </w:r>
          </w:p>
          <w:p w14:paraId="68CAE890"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Ensuring that the storage of the transaction details is located outside of any publicly accessible environment</w:t>
            </w:r>
          </w:p>
          <w:p w14:paraId="4B48C13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Storage platform existing on SMSA</w:t>
            </w:r>
            <w:r>
              <w:rPr>
                <w:rFonts w:ascii="Calibri" w:hAnsi="Calibri" w:cs="Tahoma"/>
                <w:lang w:val="en-IN"/>
              </w:rPr>
              <w:t xml:space="preserve"> </w:t>
            </w:r>
            <w:r w:rsidRPr="006454F5">
              <w:rPr>
                <w:rFonts w:ascii="Calibri" w:hAnsi="Calibri" w:cs="Tahoma"/>
                <w:lang w:val="en-IN"/>
              </w:rPr>
              <w:t>intranet</w:t>
            </w:r>
          </w:p>
          <w:p w14:paraId="412A34B3" w14:textId="77777777" w:rsidR="00E943CB" w:rsidRPr="006454F5" w:rsidRDefault="00E943CB" w:rsidP="006454F5">
            <w:pPr>
              <w:ind w:right="162"/>
              <w:rPr>
                <w:rFonts w:ascii="Calibri" w:hAnsi="Calibri" w:cs="Tahoma"/>
                <w:b/>
                <w:bCs/>
                <w:u w:val="single"/>
                <w:lang w:val="en-IN"/>
              </w:rPr>
            </w:pPr>
            <w:r w:rsidRPr="00E943CB">
              <w:rPr>
                <w:rFonts w:ascii="Calibri" w:hAnsi="Calibri" w:cs="Tahoma"/>
                <w:b/>
                <w:bCs/>
                <w:u w:val="single"/>
                <w:lang w:val="en-IN"/>
              </w:rPr>
              <w:t xml:space="preserve">1.2 </w:t>
            </w:r>
            <w:r w:rsidR="006454F5" w:rsidRPr="006454F5">
              <w:rPr>
                <w:rFonts w:ascii="Calibri" w:hAnsi="Calibri" w:cs="Tahoma"/>
                <w:b/>
                <w:bCs/>
                <w:u w:val="single"/>
                <w:lang w:val="en-IN"/>
              </w:rPr>
              <w:t>Security in development and support processes</w:t>
            </w:r>
          </w:p>
          <w:p w14:paraId="0B349451" w14:textId="77777777" w:rsidR="00E943CB" w:rsidRPr="006454F5" w:rsidRDefault="00E943CB" w:rsidP="006454F5">
            <w:pPr>
              <w:ind w:right="162"/>
              <w:rPr>
                <w:rFonts w:ascii="Calibri" w:hAnsi="Calibri" w:cs="Tahoma"/>
                <w:b/>
                <w:bCs/>
                <w:lang w:val="en-IN"/>
              </w:rPr>
            </w:pPr>
            <w:r>
              <w:rPr>
                <w:rFonts w:ascii="Calibri" w:hAnsi="Calibri" w:cs="Tahoma"/>
                <w:b/>
                <w:bCs/>
                <w:lang w:val="en-IN"/>
              </w:rPr>
              <w:t xml:space="preserve">1.2.1 </w:t>
            </w:r>
            <w:r w:rsidR="006454F5" w:rsidRPr="006454F5">
              <w:rPr>
                <w:rFonts w:ascii="Calibri" w:hAnsi="Calibri" w:cs="Tahoma"/>
                <w:b/>
                <w:bCs/>
                <w:lang w:val="en-IN"/>
              </w:rPr>
              <w:t>Technical review of applications after operating platform changes</w:t>
            </w:r>
          </w:p>
          <w:p w14:paraId="7B2AA05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NATIONAL IT MANAGER shall plan to review of application control and integrity procedures to ensure that they have not been compromised by the operating platform changes after changes</w:t>
            </w:r>
          </w:p>
          <w:p w14:paraId="2D573827"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shall be ensuring that notification of operating platform changes is provided in time to allow appropriate tests and reviews to take place before implementation</w:t>
            </w:r>
          </w:p>
          <w:p w14:paraId="0611E958"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shall be ensuring that appropriate changes are made to the business continuity plans</w:t>
            </w:r>
          </w:p>
          <w:p w14:paraId="783178C8" w14:textId="77777777" w:rsidR="00E943CB" w:rsidRPr="00E943CB" w:rsidRDefault="00E943CB" w:rsidP="006454F5">
            <w:pPr>
              <w:ind w:right="162"/>
              <w:rPr>
                <w:rFonts w:ascii="Calibri" w:hAnsi="Calibri" w:cs="Tahoma"/>
                <w:b/>
                <w:bCs/>
                <w:lang w:val="en-IN"/>
              </w:rPr>
            </w:pPr>
            <w:r>
              <w:rPr>
                <w:rFonts w:ascii="Calibri" w:hAnsi="Calibri" w:cs="Tahoma"/>
                <w:b/>
                <w:bCs/>
                <w:lang w:val="en-IN"/>
              </w:rPr>
              <w:t xml:space="preserve">1.2.2 </w:t>
            </w:r>
            <w:r w:rsidR="006454F5" w:rsidRPr="006454F5">
              <w:rPr>
                <w:rFonts w:ascii="Calibri" w:hAnsi="Calibri" w:cs="Tahoma"/>
                <w:b/>
                <w:bCs/>
                <w:lang w:val="en-IN"/>
              </w:rPr>
              <w:t>Secure system engineering principles</w:t>
            </w:r>
          </w:p>
          <w:p w14:paraId="1CF38A1E"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IT assets secure information system engineering procedures is developed by NATIONAL IT MANAGER based on security engineering principles should be established, documented and applied to in-house information system engineering activities.</w:t>
            </w:r>
          </w:p>
          <w:p w14:paraId="4606654F"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Security controls shall be designed into all architecture layers (business, data, applications and technology) balancing the need for information security with the need for accessibility.</w:t>
            </w:r>
          </w:p>
          <w:p w14:paraId="7E695B51"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NATIONAL IT MANAGER shall explore new technology for security risks and the SMSA controls design to be reviewed against known attack patterns.</w:t>
            </w:r>
          </w:p>
          <w:p w14:paraId="2AE1278A"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The established security engineering principles should be applied, where applicable, to outsourced information systems through the contracts and other binding agreements between SMSA and the supplier to whom SMSA outsources.</w:t>
            </w:r>
          </w:p>
          <w:p w14:paraId="1AB6AF61" w14:textId="77777777" w:rsid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should confirm that the suppliers’ security engineering principles is comparable with its own.</w:t>
            </w:r>
          </w:p>
          <w:p w14:paraId="6D72D256" w14:textId="77777777" w:rsidR="006454F5" w:rsidRPr="006454F5" w:rsidRDefault="006454F5" w:rsidP="006454F5">
            <w:pPr>
              <w:ind w:right="162"/>
              <w:rPr>
                <w:rFonts w:ascii="Calibri" w:hAnsi="Calibri" w:cs="Tahoma"/>
                <w:b/>
                <w:bCs/>
                <w:lang w:val="en-IN"/>
              </w:rPr>
            </w:pPr>
            <w:r>
              <w:rPr>
                <w:rFonts w:ascii="Calibri" w:hAnsi="Calibri" w:cs="Tahoma"/>
                <w:b/>
                <w:bCs/>
                <w:lang w:val="en-IN"/>
              </w:rPr>
              <w:t xml:space="preserve">1.2.3 </w:t>
            </w:r>
            <w:r w:rsidRPr="006454F5">
              <w:rPr>
                <w:rFonts w:ascii="Calibri" w:hAnsi="Calibri" w:cs="Tahoma"/>
                <w:b/>
                <w:bCs/>
                <w:lang w:val="en-IN"/>
              </w:rPr>
              <w:t>Outsourced development</w:t>
            </w:r>
          </w:p>
          <w:p w14:paraId="68FC0CA0" w14:textId="77777777" w:rsidR="006454F5" w:rsidRPr="006454F5" w:rsidRDefault="006454F5" w:rsidP="006454F5">
            <w:pPr>
              <w:pStyle w:val="ListParagraph"/>
              <w:numPr>
                <w:ilvl w:val="0"/>
                <w:numId w:val="9"/>
              </w:numPr>
              <w:ind w:right="162"/>
              <w:rPr>
                <w:rFonts w:ascii="Calibri" w:hAnsi="Calibri" w:cs="Tahoma"/>
                <w:lang w:val="en-IN"/>
              </w:rPr>
            </w:pPr>
            <w:r w:rsidRPr="006454F5">
              <w:rPr>
                <w:rFonts w:ascii="Calibri" w:hAnsi="Calibri" w:cs="Tahoma"/>
                <w:lang w:val="en-IN"/>
              </w:rPr>
              <w:t>SMSA IT shall control outsourced development activities to assure</w:t>
            </w:r>
          </w:p>
          <w:p w14:paraId="287D38CF"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Intellectual property rights related to the outsourced content is owned by SMSA through vendor agreement signed with IT</w:t>
            </w:r>
          </w:p>
          <w:p w14:paraId="66F91924"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Contractual requirements for secure design, coding and testing practices is managed</w:t>
            </w:r>
          </w:p>
          <w:p w14:paraId="7D465FE7"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Provision of the approved threat model to the external developer</w:t>
            </w:r>
          </w:p>
          <w:p w14:paraId="0FDA1B5B"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lastRenderedPageBreak/>
              <w:t>Acceptance testing for the quality and accuracy of the deliverables by SMSA</w:t>
            </w:r>
          </w:p>
          <w:p w14:paraId="3D581E0B"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Provision of evidence that security thresholds were used to establish minimum acceptable levels of security and privacy quality;</w:t>
            </w:r>
          </w:p>
          <w:p w14:paraId="7885575F"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Provision of evidence that sufficient testing has been applied to guard against the absence of both intentional and unintentional malicious content upon delivery</w:t>
            </w:r>
          </w:p>
          <w:p w14:paraId="2E75CD60"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Provision of evidence that sufficient testing has been applied to guard against the presence of known vulnerabilities;</w:t>
            </w:r>
          </w:p>
          <w:p w14:paraId="7854AB12"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contractual right to audit development processes and controls</w:t>
            </w:r>
          </w:p>
          <w:p w14:paraId="6333D184" w14:textId="77777777" w:rsidR="006454F5" w:rsidRPr="006454F5"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Effective documentation of the build environment used to create deliverables;</w:t>
            </w:r>
          </w:p>
          <w:p w14:paraId="55F99815" w14:textId="77777777" w:rsidR="006454F5" w:rsidRPr="006E1A96" w:rsidRDefault="006454F5" w:rsidP="006E1A96">
            <w:pPr>
              <w:pStyle w:val="ListParagraph"/>
              <w:numPr>
                <w:ilvl w:val="0"/>
                <w:numId w:val="33"/>
              </w:numPr>
              <w:ind w:right="162"/>
              <w:rPr>
                <w:rFonts w:ascii="Calibri" w:hAnsi="Calibri" w:cs="Tahoma"/>
                <w:lang w:val="en-IN"/>
              </w:rPr>
            </w:pPr>
            <w:r w:rsidRPr="006454F5">
              <w:rPr>
                <w:rFonts w:ascii="Calibri" w:hAnsi="Calibri" w:cs="Tahoma"/>
                <w:lang w:val="en-IN"/>
              </w:rPr>
              <w:t>SMSA remains responsible for compliance with applicable laws and control efficiency verification</w:t>
            </w:r>
          </w:p>
          <w:p w14:paraId="634C4361" w14:textId="77777777" w:rsidR="006454F5" w:rsidRPr="006E1A96" w:rsidRDefault="006E1A96" w:rsidP="006E1A96">
            <w:pPr>
              <w:ind w:right="162"/>
              <w:rPr>
                <w:rFonts w:ascii="Calibri" w:hAnsi="Calibri" w:cs="Tahoma"/>
                <w:b/>
                <w:bCs/>
                <w:lang w:val="en-IN"/>
              </w:rPr>
            </w:pPr>
            <w:r>
              <w:rPr>
                <w:rFonts w:ascii="Calibri" w:hAnsi="Calibri" w:cs="Tahoma"/>
                <w:b/>
                <w:bCs/>
                <w:lang w:val="en-IN"/>
              </w:rPr>
              <w:t xml:space="preserve">1.2.4 </w:t>
            </w:r>
            <w:r w:rsidR="006454F5" w:rsidRPr="006E1A96">
              <w:rPr>
                <w:rFonts w:ascii="Calibri" w:hAnsi="Calibri" w:cs="Tahoma"/>
                <w:b/>
                <w:bCs/>
                <w:lang w:val="en-IN"/>
              </w:rPr>
              <w:t>System security testing</w:t>
            </w:r>
          </w:p>
          <w:p w14:paraId="7FC1D3B3"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Testing of security functionality should be carried out during development as a part of the approved SDLC by SMSA.</w:t>
            </w:r>
          </w:p>
          <w:p w14:paraId="49E376B5"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New and updated systems require thorough testing and verification during the development processes, including the preparation of a detailed schedule of activities and test inputs and expected outputs under a range of conditions.</w:t>
            </w:r>
          </w:p>
          <w:p w14:paraId="364DE12F"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For in-house developments, such tests should initially be performed by the development team.</w:t>
            </w:r>
          </w:p>
          <w:p w14:paraId="64C4A356"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Independent acceptance testing by NATIONAL IT MANAGER should then be undertaken to ensure that the system works as expected and only as expected.</w:t>
            </w:r>
          </w:p>
          <w:p w14:paraId="66BAFD38"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The extent of testing should be in proportion to the importance and nature of the system.</w:t>
            </w:r>
          </w:p>
          <w:p w14:paraId="2E914B86" w14:textId="77777777" w:rsidR="006454F5" w:rsidRPr="00FF37D5" w:rsidRDefault="006454F5" w:rsidP="006454F5">
            <w:pPr>
              <w:pStyle w:val="ListParagraph"/>
              <w:ind w:left="1224"/>
              <w:jc w:val="both"/>
              <w:rPr>
                <w:rFonts w:asciiTheme="majorBidi" w:hAnsiTheme="majorBidi" w:cstheme="majorBidi"/>
              </w:rPr>
            </w:pPr>
          </w:p>
          <w:p w14:paraId="170B2907" w14:textId="77777777" w:rsidR="006454F5" w:rsidRPr="00C704F6" w:rsidRDefault="006E1A96" w:rsidP="006E1A96">
            <w:pPr>
              <w:ind w:right="162"/>
              <w:rPr>
                <w:rFonts w:asciiTheme="majorBidi" w:hAnsiTheme="majorBidi" w:cstheme="majorBidi"/>
                <w:b/>
                <w:bCs/>
              </w:rPr>
            </w:pPr>
            <w:r>
              <w:rPr>
                <w:rFonts w:ascii="Calibri" w:hAnsi="Calibri" w:cs="Tahoma"/>
                <w:b/>
                <w:bCs/>
                <w:lang w:val="en-IN"/>
              </w:rPr>
              <w:t xml:space="preserve">1.2.5 </w:t>
            </w:r>
            <w:r w:rsidR="006454F5" w:rsidRPr="006E1A96">
              <w:rPr>
                <w:rFonts w:ascii="Calibri" w:hAnsi="Calibri" w:cs="Tahoma"/>
                <w:b/>
                <w:bCs/>
                <w:lang w:val="en-IN"/>
              </w:rPr>
              <w:t>System acceptance testing</w:t>
            </w:r>
          </w:p>
          <w:p w14:paraId="2231A0C0"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System acceptance testing should include testing of information security requirements and adherence to secure system development practices</w:t>
            </w:r>
          </w:p>
          <w:p w14:paraId="64F0A9DC"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The testing should also be conducted on received components and integrated systems.</w:t>
            </w:r>
          </w:p>
          <w:p w14:paraId="7FB13B07"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SMSA shall leverage automated tools, such as code analysis tools or vulnerability scanners, and should verify the remediation of security-related defects.</w:t>
            </w:r>
          </w:p>
          <w:p w14:paraId="4D328124" w14:textId="77777777" w:rsidR="006454F5" w:rsidRPr="006E1A96" w:rsidRDefault="006454F5" w:rsidP="006E1A96">
            <w:pPr>
              <w:pStyle w:val="ListParagraph"/>
              <w:numPr>
                <w:ilvl w:val="0"/>
                <w:numId w:val="9"/>
              </w:numPr>
              <w:ind w:right="162"/>
              <w:rPr>
                <w:rFonts w:ascii="Calibri" w:hAnsi="Calibri" w:cs="Tahoma"/>
                <w:lang w:val="en-IN"/>
              </w:rPr>
            </w:pPr>
            <w:r w:rsidRPr="006E1A96">
              <w:rPr>
                <w:rFonts w:ascii="Calibri" w:hAnsi="Calibri" w:cs="Tahoma"/>
                <w:lang w:val="en-IN"/>
              </w:rPr>
              <w:t>Testing should be performed in a realistic test environment to ensure that the system will not introduce vulnerabilities to the SMSA environment and that the tests are reliable.</w:t>
            </w:r>
          </w:p>
          <w:p w14:paraId="259116D3"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4A2560D6"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700D6D3"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lastRenderedPageBreak/>
              <w:t xml:space="preserve">3. </w:t>
            </w:r>
            <w:r w:rsidR="00A4449F" w:rsidRPr="00363CE0">
              <w:rPr>
                <w:rFonts w:ascii="Calibri" w:hAnsi="Calibri" w:cs="Tahoma"/>
                <w:b/>
                <w:bCs/>
                <w:u w:val="single"/>
                <w:lang w:val="en-IN"/>
              </w:rPr>
              <w:t>Enforcement</w:t>
            </w:r>
            <w:bookmarkEnd w:id="1"/>
            <w:bookmarkEnd w:id="2"/>
          </w:p>
          <w:p w14:paraId="163E1168"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662E717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1EC39BED"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5141A7B1"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5ECB0DE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2EE190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1E832E19"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298C2ACF"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015303BF"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68C360DE"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2A68247B"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784C3CF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1FCC28CD"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7645FC30"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7B69FDA3" w14:textId="77777777" w:rsidR="003050B7" w:rsidRPr="002928E9" w:rsidRDefault="003050B7" w:rsidP="001241FF"/>
    <w:p w14:paraId="2C344DBA"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2D7F" w14:textId="77777777" w:rsidR="00BC6422" w:rsidRDefault="00BC6422" w:rsidP="003050B7">
      <w:pPr>
        <w:spacing w:after="0"/>
      </w:pPr>
      <w:r>
        <w:separator/>
      </w:r>
    </w:p>
  </w:endnote>
  <w:endnote w:type="continuationSeparator" w:id="0">
    <w:p w14:paraId="78457BA7" w14:textId="77777777" w:rsidR="00BC6422" w:rsidRDefault="00BC6422"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209" w14:textId="77777777" w:rsidR="00A614C9" w:rsidRDefault="00A6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D262" w14:textId="0B46DA42"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106019"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106019" w:rsidRPr="00B93592">
      <w:rPr>
        <w:rFonts w:asciiTheme="minorHAnsi" w:hAnsiTheme="minorHAnsi" w:cstheme="minorHAnsi"/>
        <w:b/>
        <w:sz w:val="20"/>
        <w:szCs w:val="20"/>
      </w:rPr>
      <w:fldChar w:fldCharType="separate"/>
    </w:r>
    <w:r w:rsidR="006E1A96">
      <w:rPr>
        <w:rFonts w:asciiTheme="minorHAnsi" w:hAnsiTheme="minorHAnsi" w:cstheme="minorHAnsi"/>
        <w:b/>
        <w:noProof/>
        <w:sz w:val="20"/>
        <w:szCs w:val="20"/>
      </w:rPr>
      <w:t>1</w:t>
    </w:r>
    <w:r w:rsidR="00106019"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106019"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106019" w:rsidRPr="00B93592">
      <w:rPr>
        <w:rFonts w:asciiTheme="minorHAnsi" w:hAnsiTheme="minorHAnsi" w:cstheme="minorHAnsi"/>
        <w:b/>
        <w:sz w:val="20"/>
        <w:szCs w:val="20"/>
      </w:rPr>
      <w:fldChar w:fldCharType="separate"/>
    </w:r>
    <w:r w:rsidR="006E1A96">
      <w:rPr>
        <w:rFonts w:asciiTheme="minorHAnsi" w:hAnsiTheme="minorHAnsi" w:cstheme="minorHAnsi"/>
        <w:b/>
        <w:noProof/>
        <w:sz w:val="20"/>
        <w:szCs w:val="20"/>
      </w:rPr>
      <w:t>5</w:t>
    </w:r>
    <w:r w:rsidR="00106019"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2AFCBF4" w14:textId="382FCD0D" w:rsidR="00B93592" w:rsidRPr="00B93592" w:rsidRDefault="007038E5" w:rsidP="00A614C9">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FBA" w14:textId="77777777" w:rsidR="00A614C9" w:rsidRDefault="00A6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54F5" w14:textId="77777777" w:rsidR="00BC6422" w:rsidRDefault="00BC6422" w:rsidP="003050B7">
      <w:pPr>
        <w:spacing w:after="0"/>
      </w:pPr>
      <w:r>
        <w:separator/>
      </w:r>
    </w:p>
  </w:footnote>
  <w:footnote w:type="continuationSeparator" w:id="0">
    <w:p w14:paraId="49942C95" w14:textId="77777777" w:rsidR="00BC6422" w:rsidRDefault="00BC6422"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EFB" w14:textId="77777777" w:rsidR="00A614C9" w:rsidRDefault="00A6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76B63B0B" w14:textId="77777777" w:rsidTr="00980C86">
      <w:tc>
        <w:tcPr>
          <w:tcW w:w="4230" w:type="dxa"/>
        </w:tcPr>
        <w:p w14:paraId="6F66DF12" w14:textId="77777777" w:rsidR="00000000" w:rsidRPr="003069FB" w:rsidRDefault="00B93592" w:rsidP="003050B7">
          <w:pPr>
            <w:pStyle w:val="Header"/>
            <w:rPr>
              <w:b/>
              <w:noProof/>
              <w:sz w:val="28"/>
              <w:szCs w:val="28"/>
            </w:rPr>
          </w:pPr>
          <w:r>
            <w:rPr>
              <w:b/>
              <w:noProof/>
              <w:sz w:val="28"/>
              <w:szCs w:val="28"/>
            </w:rPr>
            <w:drawing>
              <wp:inline distT="0" distB="0" distL="0" distR="0" wp14:anchorId="0920678A" wp14:editId="3B30BC5A">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5888B18B" w14:textId="77777777" w:rsidR="00000000" w:rsidRDefault="006454F5" w:rsidP="00E943CB">
          <w:pPr>
            <w:pStyle w:val="Header"/>
            <w:jc w:val="right"/>
            <w:rPr>
              <w:rFonts w:ascii="Calibri" w:hAnsi="Calibri"/>
              <w:b/>
              <w:noProof/>
              <w:sz w:val="32"/>
            </w:rPr>
          </w:pPr>
          <w:r>
            <w:rPr>
              <w:rFonts w:ascii="Calibri" w:hAnsi="Calibri"/>
              <w:b/>
              <w:noProof/>
              <w:sz w:val="32"/>
            </w:rPr>
            <w:t>System Acquisition, Development and M</w:t>
          </w:r>
          <w:r w:rsidRPr="006454F5">
            <w:rPr>
              <w:rFonts w:ascii="Calibri" w:hAnsi="Calibri"/>
              <w:b/>
              <w:noProof/>
              <w:sz w:val="32"/>
            </w:rPr>
            <w:t>aintenance</w:t>
          </w:r>
          <w:r w:rsidR="00E943CB">
            <w:rPr>
              <w:rFonts w:ascii="Calibri" w:hAnsi="Calibri"/>
              <w:b/>
              <w:noProof/>
              <w:sz w:val="32"/>
            </w:rPr>
            <w:t xml:space="preserve"> </w:t>
          </w:r>
          <w:r w:rsidR="00FF2CEB">
            <w:rPr>
              <w:rFonts w:ascii="Calibri" w:hAnsi="Calibri"/>
              <w:b/>
              <w:noProof/>
              <w:sz w:val="32"/>
            </w:rPr>
            <w:t>Policy</w:t>
          </w:r>
        </w:p>
        <w:p w14:paraId="0F101304"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480416D9" w14:textId="77777777" w:rsidR="00000000" w:rsidRPr="00607DB0" w:rsidRDefault="00000000"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B24C" w14:textId="77777777" w:rsidR="00A614C9" w:rsidRDefault="00A6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76452F8"/>
    <w:multiLevelType w:val="hybridMultilevel"/>
    <w:tmpl w:val="C5F29142"/>
    <w:lvl w:ilvl="0" w:tplc="04090001">
      <w:start w:val="1"/>
      <w:numFmt w:val="bullet"/>
      <w:lvlText w:val=""/>
      <w:lvlJc w:val="left"/>
      <w:pPr>
        <w:ind w:left="360" w:hanging="360"/>
      </w:pPr>
      <w:rPr>
        <w:rFonts w:ascii="Symbol" w:hAnsi="Symbol" w:hint="default"/>
      </w:rPr>
    </w:lvl>
    <w:lvl w:ilvl="1" w:tplc="27462ECC">
      <w:numFmt w:val="bullet"/>
      <w:lvlText w:val="•"/>
      <w:lvlJc w:val="left"/>
      <w:pPr>
        <w:ind w:left="1080" w:hanging="360"/>
      </w:pPr>
      <w:rPr>
        <w:rFonts w:ascii="Calibri" w:eastAsiaTheme="minorEastAsia" w:hAnsi="Calibri" w:cstheme="minorBidi"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7EE008F"/>
    <w:multiLevelType w:val="hybridMultilevel"/>
    <w:tmpl w:val="3828D8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DB1658"/>
    <w:multiLevelType w:val="hybridMultilevel"/>
    <w:tmpl w:val="DD0EE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1F27BF"/>
    <w:multiLevelType w:val="hybridMultilevel"/>
    <w:tmpl w:val="A78E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F6F24"/>
    <w:multiLevelType w:val="hybridMultilevel"/>
    <w:tmpl w:val="0D4465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5B31431B"/>
    <w:multiLevelType w:val="hybridMultilevel"/>
    <w:tmpl w:val="2DF8F13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40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E46602"/>
    <w:multiLevelType w:val="hybridMultilevel"/>
    <w:tmpl w:val="2FE272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0657147">
    <w:abstractNumId w:val="16"/>
  </w:num>
  <w:num w:numId="2" w16cid:durableId="1941595482">
    <w:abstractNumId w:val="4"/>
  </w:num>
  <w:num w:numId="3" w16cid:durableId="1983998524">
    <w:abstractNumId w:val="20"/>
  </w:num>
  <w:num w:numId="4" w16cid:durableId="417599201">
    <w:abstractNumId w:val="27"/>
  </w:num>
  <w:num w:numId="5" w16cid:durableId="1562984928">
    <w:abstractNumId w:val="6"/>
  </w:num>
  <w:num w:numId="6" w16cid:durableId="1897204819">
    <w:abstractNumId w:val="32"/>
  </w:num>
  <w:num w:numId="7" w16cid:durableId="311452772">
    <w:abstractNumId w:val="7"/>
  </w:num>
  <w:num w:numId="8" w16cid:durableId="1086725782">
    <w:abstractNumId w:val="22"/>
  </w:num>
  <w:num w:numId="9" w16cid:durableId="1358585313">
    <w:abstractNumId w:val="8"/>
  </w:num>
  <w:num w:numId="10" w16cid:durableId="2008096094">
    <w:abstractNumId w:val="5"/>
  </w:num>
  <w:num w:numId="11" w16cid:durableId="639115572">
    <w:abstractNumId w:val="17"/>
  </w:num>
  <w:num w:numId="12" w16cid:durableId="2125882686">
    <w:abstractNumId w:val="3"/>
  </w:num>
  <w:num w:numId="13" w16cid:durableId="432819353">
    <w:abstractNumId w:val="21"/>
  </w:num>
  <w:num w:numId="14" w16cid:durableId="1133250657">
    <w:abstractNumId w:val="2"/>
  </w:num>
  <w:num w:numId="15" w16cid:durableId="1931767720">
    <w:abstractNumId w:val="25"/>
  </w:num>
  <w:num w:numId="16" w16cid:durableId="1451365102">
    <w:abstractNumId w:val="26"/>
  </w:num>
  <w:num w:numId="17" w16cid:durableId="1729650266">
    <w:abstractNumId w:val="23"/>
  </w:num>
  <w:num w:numId="18" w16cid:durableId="2138640752">
    <w:abstractNumId w:val="30"/>
  </w:num>
  <w:num w:numId="19" w16cid:durableId="1634288594">
    <w:abstractNumId w:val="29"/>
  </w:num>
  <w:num w:numId="20" w16cid:durableId="2140145717">
    <w:abstractNumId w:val="1"/>
  </w:num>
  <w:num w:numId="21" w16cid:durableId="1646275167">
    <w:abstractNumId w:val="9"/>
  </w:num>
  <w:num w:numId="22" w16cid:durableId="1601765558">
    <w:abstractNumId w:val="28"/>
  </w:num>
  <w:num w:numId="23" w16cid:durableId="1611472528">
    <w:abstractNumId w:val="14"/>
  </w:num>
  <w:num w:numId="24" w16cid:durableId="1661614753">
    <w:abstractNumId w:val="0"/>
  </w:num>
  <w:num w:numId="25" w16cid:durableId="452288855">
    <w:abstractNumId w:val="15"/>
  </w:num>
  <w:num w:numId="26" w16cid:durableId="1719550578">
    <w:abstractNumId w:val="12"/>
  </w:num>
  <w:num w:numId="27" w16cid:durableId="1706834471">
    <w:abstractNumId w:val="18"/>
  </w:num>
  <w:num w:numId="28" w16cid:durableId="1328241451">
    <w:abstractNumId w:val="11"/>
  </w:num>
  <w:num w:numId="29" w16cid:durableId="63383024">
    <w:abstractNumId w:val="10"/>
  </w:num>
  <w:num w:numId="30" w16cid:durableId="770667222">
    <w:abstractNumId w:val="24"/>
  </w:num>
  <w:num w:numId="31" w16cid:durableId="1480461404">
    <w:abstractNumId w:val="31"/>
  </w:num>
  <w:num w:numId="32" w16cid:durableId="1028331364">
    <w:abstractNumId w:val="13"/>
  </w:num>
  <w:num w:numId="33" w16cid:durableId="919294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019"/>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5B63"/>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970C9"/>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66BB"/>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4F5"/>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1A96"/>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14C9"/>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AF6DED"/>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AEA"/>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60D"/>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C6422"/>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0C66"/>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3CB"/>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2CD"/>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9D16"/>
  <w15:docId w15:val="{E9FD1A76-DD40-4E09-B333-735743F6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16</cp:revision>
  <dcterms:created xsi:type="dcterms:W3CDTF">2021-11-04T08:41:00Z</dcterms:created>
  <dcterms:modified xsi:type="dcterms:W3CDTF">2025-09-08T10:28:00Z</dcterms:modified>
</cp:coreProperties>
</file>