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5BBE1821" w14:textId="77777777" w:rsidTr="00473F1E">
        <w:tc>
          <w:tcPr>
            <w:tcW w:w="2340" w:type="dxa"/>
            <w:vAlign w:val="center"/>
          </w:tcPr>
          <w:p w14:paraId="389519EF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4B10BA0B" w14:textId="5369AB64" w:rsidR="00BE02EE" w:rsidRPr="00C477C3" w:rsidRDefault="00C7790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policy or procedure is design to </w:t>
            </w:r>
            <w:r w:rsidR="00910CCC">
              <w:rPr>
                <w:rFonts w:ascii="Calibri" w:hAnsi="Calibri" w:cs="Calibri"/>
              </w:rPr>
              <w:t xml:space="preserve">reduce the production of </w:t>
            </w:r>
            <w:proofErr w:type="gramStart"/>
            <w:r w:rsidR="00910CCC">
              <w:rPr>
                <w:rFonts w:ascii="Calibri" w:hAnsi="Calibri" w:cs="Calibri"/>
              </w:rPr>
              <w:t>employees</w:t>
            </w:r>
            <w:proofErr w:type="gramEnd"/>
            <w:r w:rsidR="00910CCC">
              <w:rPr>
                <w:rFonts w:ascii="Calibri" w:hAnsi="Calibri" w:cs="Calibri"/>
              </w:rPr>
              <w:t xml:space="preserve"> business cards from 2023.</w:t>
            </w:r>
          </w:p>
        </w:tc>
      </w:tr>
      <w:tr w:rsidR="007E11F7" w:rsidRPr="00C477C3" w14:paraId="186D9457" w14:textId="77777777" w:rsidTr="00473F1E">
        <w:tc>
          <w:tcPr>
            <w:tcW w:w="2340" w:type="dxa"/>
            <w:vAlign w:val="center"/>
          </w:tcPr>
          <w:p w14:paraId="26B0858D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5D004AB6" w14:textId="3403B7E2" w:rsidR="00C77905" w:rsidRDefault="00EB175E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It is being implemented in consideration of </w:t>
            </w:r>
            <w:r w:rsidR="00D87CED">
              <w:rPr>
                <w:rFonts w:ascii="Calibri" w:hAnsi="Calibri" w:cs="Calibri"/>
              </w:rPr>
              <w:t>CSR</w:t>
            </w:r>
            <w:r>
              <w:rPr>
                <w:rFonts w:ascii="Calibri" w:hAnsi="Calibri" w:cs="Calibri"/>
              </w:rPr>
              <w:t xml:space="preserve"> and wastage of paper</w:t>
            </w:r>
            <w:r w:rsidR="00C77905">
              <w:rPr>
                <w:rFonts w:ascii="Calibri" w:hAnsi="Calibri" w:cs="Calibri"/>
              </w:rPr>
              <w:t xml:space="preserve">. </w:t>
            </w:r>
          </w:p>
          <w:p w14:paraId="6F3F15CF" w14:textId="1AA8EC99" w:rsidR="00C77905" w:rsidRPr="00EB175E" w:rsidRDefault="00C7790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Introduction of </w:t>
            </w:r>
            <w:r w:rsidRPr="00C77905">
              <w:rPr>
                <w:rFonts w:ascii="Calibri" w:hAnsi="Calibri" w:cs="Calibri"/>
              </w:rPr>
              <w:t xml:space="preserve">new </w:t>
            </w:r>
            <w:r w:rsidR="00EB175E">
              <w:rPr>
                <w:rFonts w:ascii="Calibri" w:hAnsi="Calibri" w:cs="Calibri"/>
              </w:rPr>
              <w:t>QR Business Cards will be a plus for SMSA since employees will have no need to handover the business card to the possible customer/client; it can be saved to smart devices by scanning the QR Code.</w:t>
            </w:r>
          </w:p>
          <w:p w14:paraId="6234A367" w14:textId="2C3B1160" w:rsidR="007E11F7" w:rsidRPr="00C77905" w:rsidRDefault="00EB175E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Upon Scanning Customer/Client can save the contact details with the Pop-Up screen.</w:t>
            </w:r>
            <w:r w:rsidR="00C77905" w:rsidRPr="00C77905">
              <w:rPr>
                <w:rFonts w:ascii="Calibri" w:hAnsi="Calibri" w:cs="Calibri"/>
              </w:rPr>
              <w:t xml:space="preserve"> </w:t>
            </w:r>
          </w:p>
        </w:tc>
      </w:tr>
      <w:tr w:rsidR="007E11F7" w:rsidRPr="00C477C3" w14:paraId="1ECE433C" w14:textId="77777777" w:rsidTr="00473F1E">
        <w:tc>
          <w:tcPr>
            <w:tcW w:w="2340" w:type="dxa"/>
            <w:vAlign w:val="center"/>
          </w:tcPr>
          <w:p w14:paraId="3EE092FD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4873D564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6A8C2CEB" w14:textId="77777777" w:rsidTr="00473F1E">
        <w:tc>
          <w:tcPr>
            <w:tcW w:w="2340" w:type="dxa"/>
            <w:vAlign w:val="center"/>
          </w:tcPr>
          <w:p w14:paraId="69F60978" w14:textId="77777777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1ED63509" w14:textId="2F9F8729" w:rsidR="004C2F1E" w:rsidRDefault="004E26C0" w:rsidP="004C2F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Implementation</w:t>
            </w:r>
            <w:r w:rsidR="00473F1E" w:rsidRPr="00473F1E">
              <w:rPr>
                <w:rFonts w:ascii="Calibri" w:hAnsi="Calibri" w:cs="Calibri"/>
                <w:b/>
                <w:bCs/>
              </w:rPr>
              <w:t>:</w:t>
            </w:r>
            <w:r w:rsidR="00473F1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ABD5817" w14:textId="662F9178" w:rsidR="004C2F1E" w:rsidRPr="004C2F1E" w:rsidRDefault="004E26C0" w:rsidP="004C2F1E">
            <w:pPr>
              <w:pStyle w:val="ListParagraph"/>
              <w:numPr>
                <w:ilvl w:val="0"/>
                <w:numId w:val="24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This policy will be implied starting from 2023, </w:t>
            </w:r>
          </w:p>
          <w:p w14:paraId="6CE91836" w14:textId="764B792A" w:rsidR="004C2F1E" w:rsidRDefault="004E26C0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reduce the production</w:t>
            </w:r>
            <w:r w:rsidR="00E60023">
              <w:rPr>
                <w:rFonts w:ascii="Calibri" w:hAnsi="Calibri" w:cs="Calibri"/>
              </w:rPr>
              <w:t>.</w:t>
            </w:r>
          </w:p>
          <w:p w14:paraId="4552AFC0" w14:textId="48744794" w:rsidR="004C2F1E" w:rsidRPr="004C2F1E" w:rsidRDefault="004E26C0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Employees will no longer be given a bulk quantity</w:t>
            </w:r>
            <w:r w:rsidR="00E60023">
              <w:rPr>
                <w:rFonts w:ascii="Calibri" w:hAnsi="Calibri" w:cs="Calibri"/>
              </w:rPr>
              <w:t>.</w:t>
            </w:r>
          </w:p>
          <w:p w14:paraId="102D3464" w14:textId="229BD457" w:rsidR="004C2F1E" w:rsidRPr="004C2F1E" w:rsidRDefault="00D87CED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E26C0">
              <w:rPr>
                <w:rFonts w:ascii="Calibri" w:hAnsi="Calibri" w:cs="Calibri"/>
              </w:rPr>
              <w:t>ut-off to the wastage of paper and printing in-case of any resignation.</w:t>
            </w:r>
          </w:p>
          <w:p w14:paraId="313F996D" w14:textId="18C163EA" w:rsidR="004C2F1E" w:rsidRPr="004C2F1E" w:rsidRDefault="004E26C0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East-to-save contact details for the team to engage.</w:t>
            </w:r>
          </w:p>
          <w:p w14:paraId="6FEDADCE" w14:textId="56F72E8C" w:rsidR="004C2F1E" w:rsidRPr="004C2F1E" w:rsidRDefault="004E26C0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Innovative QR Codes </w:t>
            </w:r>
            <w:r w:rsidR="00BF75FD">
              <w:rPr>
                <w:rFonts w:ascii="Calibri" w:hAnsi="Calibri" w:cs="Calibri"/>
              </w:rPr>
              <w:t>can be used for the longer periods.</w:t>
            </w:r>
          </w:p>
          <w:p w14:paraId="0C31B56B" w14:textId="77777777" w:rsidR="004C2F1E" w:rsidRDefault="004C2F1E" w:rsidP="004C2F1E">
            <w:pPr>
              <w:rPr>
                <w:rFonts w:ascii="Calibri" w:hAnsi="Calibri" w:cs="Calibri"/>
                <w:b/>
                <w:bCs/>
              </w:rPr>
            </w:pPr>
          </w:p>
          <w:p w14:paraId="6A098DD4" w14:textId="63C18DB2" w:rsidR="004C2F1E" w:rsidRDefault="004C2F1E" w:rsidP="004C2F1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Development:</w:t>
            </w:r>
          </w:p>
          <w:p w14:paraId="0B92F48E" w14:textId="25BB84A5" w:rsidR="004C2F1E" w:rsidRDefault="00574DD4" w:rsidP="004C2F1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74DD4">
              <w:rPr>
                <w:rFonts w:ascii="Calibri" w:hAnsi="Calibri" w:cs="Calibri"/>
              </w:rPr>
              <w:t xml:space="preserve">The steps in development include drafting the concept, </w:t>
            </w:r>
            <w:r w:rsidR="00BF75FD">
              <w:rPr>
                <w:rFonts w:ascii="Calibri" w:hAnsi="Calibri" w:cs="Calibri"/>
              </w:rPr>
              <w:t>design of the business card with QR Code</w:t>
            </w:r>
            <w:r w:rsidRPr="00574DD4">
              <w:rPr>
                <w:rFonts w:ascii="Calibri" w:hAnsi="Calibri" w:cs="Calibri"/>
              </w:rPr>
              <w:t xml:space="preserve">, </w:t>
            </w:r>
            <w:r w:rsidR="00BF75FD">
              <w:rPr>
                <w:rFonts w:ascii="Calibri" w:hAnsi="Calibri" w:cs="Calibri"/>
              </w:rPr>
              <w:t>platform to redirect the QR Code</w:t>
            </w:r>
            <w:r>
              <w:rPr>
                <w:rFonts w:ascii="Calibri" w:hAnsi="Calibri" w:cs="Calibri"/>
              </w:rPr>
              <w:t>. Product Development procedure can be followed by keeping the following points;</w:t>
            </w:r>
          </w:p>
          <w:p w14:paraId="602E7D20" w14:textId="77777777" w:rsidR="000C7995" w:rsidRDefault="000C7995" w:rsidP="000C7995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needs to raise a request on SSHR system and provide all the details.</w:t>
            </w:r>
          </w:p>
          <w:p w14:paraId="0C4DD922" w14:textId="77777777" w:rsidR="000C7995" w:rsidRDefault="000C7995" w:rsidP="000C7995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 department will communicate with Marketing to design a business card.</w:t>
            </w:r>
          </w:p>
          <w:p w14:paraId="2E52CCCA" w14:textId="77777777" w:rsidR="000C7995" w:rsidRDefault="000C7995" w:rsidP="000C7995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the design is ready, Marketing will share the design to purchasing department.</w:t>
            </w:r>
          </w:p>
          <w:p w14:paraId="12667BB0" w14:textId="7E05F67D" w:rsidR="000C7995" w:rsidRDefault="000C7995" w:rsidP="000C7995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 department will process the request after the confirmation of end user on the business cards.</w:t>
            </w:r>
          </w:p>
          <w:p w14:paraId="45CE09A7" w14:textId="77777777" w:rsidR="000C7995" w:rsidRDefault="000C7995" w:rsidP="000C7995">
            <w:pPr>
              <w:pStyle w:val="ListParagraph"/>
              <w:ind w:left="1440"/>
              <w:rPr>
                <w:rFonts w:ascii="Calibri" w:hAnsi="Calibri" w:cs="Calibri"/>
              </w:rPr>
            </w:pPr>
          </w:p>
          <w:p w14:paraId="695E87CA" w14:textId="62E69731" w:rsidR="000C7995" w:rsidRPr="000C7995" w:rsidRDefault="000C7995" w:rsidP="000C7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Note: </w:t>
            </w:r>
            <w:r w:rsidRPr="000C7995">
              <w:rPr>
                <w:rFonts w:ascii="Calibri" w:hAnsi="Calibri" w:cs="Calibri"/>
              </w:rPr>
              <w:t xml:space="preserve">Marketing </w:t>
            </w:r>
            <w:r>
              <w:rPr>
                <w:rFonts w:ascii="Calibri" w:hAnsi="Calibri" w:cs="Calibri"/>
              </w:rPr>
              <w:t>reserved</w:t>
            </w:r>
            <w:r w:rsidRPr="000C7995">
              <w:rPr>
                <w:rFonts w:ascii="Calibri" w:hAnsi="Calibri" w:cs="Calibri"/>
              </w:rPr>
              <w:t xml:space="preserve"> a right to change the title / position of </w:t>
            </w:r>
            <w:r>
              <w:rPr>
                <w:rFonts w:ascii="Calibri" w:hAnsi="Calibri" w:cs="Calibri"/>
              </w:rPr>
              <w:t>employee in Arabic / English as per the need.</w:t>
            </w:r>
          </w:p>
        </w:tc>
      </w:tr>
      <w:tr w:rsidR="007E11F7" w:rsidRPr="00C477C3" w14:paraId="5B9CDE03" w14:textId="77777777" w:rsidTr="00473F1E">
        <w:tc>
          <w:tcPr>
            <w:tcW w:w="2340" w:type="dxa"/>
            <w:vAlign w:val="center"/>
          </w:tcPr>
          <w:p w14:paraId="1EA419BA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187BACB2" w14:textId="29D55D6E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E60023">
              <w:rPr>
                <w:rFonts w:ascii="Calibri" w:hAnsi="Calibri" w:cs="Calibri"/>
              </w:rPr>
              <w:t>Director Sales &amp; Marketing.</w:t>
            </w:r>
          </w:p>
        </w:tc>
      </w:tr>
    </w:tbl>
    <w:p w14:paraId="2BFDFF85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5768" w14:textId="77777777" w:rsidR="00F12A0A" w:rsidRDefault="00F12A0A">
      <w:r>
        <w:separator/>
      </w:r>
    </w:p>
  </w:endnote>
  <w:endnote w:type="continuationSeparator" w:id="0">
    <w:p w14:paraId="46A287C0" w14:textId="77777777" w:rsidR="00F12A0A" w:rsidRDefault="00F1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03F7" w14:textId="77777777" w:rsidR="009217FF" w:rsidRDefault="00921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71D1" w14:textId="1B862769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3F22B3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3F22B3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</w:t>
    </w:r>
    <w:r w:rsidR="003F22B3">
      <w:rPr>
        <w:rFonts w:ascii="Calibri" w:hAnsi="Calibri" w:cs="Calibri"/>
        <w:sz w:val="22"/>
        <w:szCs w:val="22"/>
        <w:lang w:val="en-US"/>
      </w:rPr>
      <w:t>ed copy if printed</w:t>
    </w:r>
    <w:r w:rsidR="003F22B3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4557" w14:textId="77777777" w:rsidR="009217FF" w:rsidRDefault="0092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C7E5" w14:textId="77777777" w:rsidR="00F12A0A" w:rsidRDefault="00F12A0A">
      <w:r>
        <w:separator/>
      </w:r>
    </w:p>
  </w:footnote>
  <w:footnote w:type="continuationSeparator" w:id="0">
    <w:p w14:paraId="15352307" w14:textId="77777777" w:rsidR="00F12A0A" w:rsidRDefault="00F1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12BB" w14:textId="77777777" w:rsidR="009217FF" w:rsidRDefault="00921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6CE021DD" w14:textId="77777777" w:rsidTr="00BF5C1B">
      <w:trPr>
        <w:trHeight w:val="1080"/>
      </w:trPr>
      <w:tc>
        <w:tcPr>
          <w:tcW w:w="3693" w:type="dxa"/>
        </w:tcPr>
        <w:p w14:paraId="1A5372C2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77DBB706" wp14:editId="430950F9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0E66417D" w14:textId="7B1DAA03" w:rsidR="005C5051" w:rsidRPr="00667C00" w:rsidRDefault="00910CCC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QR Business Cards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03EB170E" w14:textId="53AEC477" w:rsidR="005C5051" w:rsidRPr="00C81B45" w:rsidRDefault="005A2AF5" w:rsidP="00E60023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9133AE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0F52E8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6D801AD0" w14:textId="4783037D" w:rsidR="005C5051" w:rsidRPr="003F22B3" w:rsidRDefault="005C5051" w:rsidP="003F22B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283B" w14:textId="77777777" w:rsidR="009217FF" w:rsidRDefault="00921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6892">
    <w:abstractNumId w:val="0"/>
  </w:num>
  <w:num w:numId="2" w16cid:durableId="756560258">
    <w:abstractNumId w:val="1"/>
  </w:num>
  <w:num w:numId="3" w16cid:durableId="1083145018">
    <w:abstractNumId w:val="11"/>
  </w:num>
  <w:num w:numId="4" w16cid:durableId="941304772">
    <w:abstractNumId w:val="17"/>
  </w:num>
  <w:num w:numId="5" w16cid:durableId="693118744">
    <w:abstractNumId w:val="6"/>
  </w:num>
  <w:num w:numId="6" w16cid:durableId="408499143">
    <w:abstractNumId w:val="5"/>
  </w:num>
  <w:num w:numId="7" w16cid:durableId="1161501188">
    <w:abstractNumId w:val="19"/>
  </w:num>
  <w:num w:numId="8" w16cid:durableId="1278482933">
    <w:abstractNumId w:val="2"/>
  </w:num>
  <w:num w:numId="9" w16cid:durableId="138811792">
    <w:abstractNumId w:val="4"/>
  </w:num>
  <w:num w:numId="10" w16cid:durableId="151071466">
    <w:abstractNumId w:val="24"/>
  </w:num>
  <w:num w:numId="11" w16cid:durableId="761030909">
    <w:abstractNumId w:val="3"/>
  </w:num>
  <w:num w:numId="12" w16cid:durableId="1575891584">
    <w:abstractNumId w:val="13"/>
  </w:num>
  <w:num w:numId="13" w16cid:durableId="1835103786">
    <w:abstractNumId w:val="7"/>
  </w:num>
  <w:num w:numId="14" w16cid:durableId="2129473408">
    <w:abstractNumId w:val="22"/>
  </w:num>
  <w:num w:numId="15" w16cid:durableId="282734646">
    <w:abstractNumId w:val="10"/>
  </w:num>
  <w:num w:numId="16" w16cid:durableId="390033606">
    <w:abstractNumId w:val="9"/>
  </w:num>
  <w:num w:numId="17" w16cid:durableId="1562253982">
    <w:abstractNumId w:val="23"/>
  </w:num>
  <w:num w:numId="18" w16cid:durableId="1497846681">
    <w:abstractNumId w:val="8"/>
  </w:num>
  <w:num w:numId="19" w16cid:durableId="1512640953">
    <w:abstractNumId w:val="15"/>
  </w:num>
  <w:num w:numId="20" w16cid:durableId="372774753">
    <w:abstractNumId w:val="20"/>
  </w:num>
  <w:num w:numId="21" w16cid:durableId="1834292307">
    <w:abstractNumId w:val="18"/>
  </w:num>
  <w:num w:numId="22" w16cid:durableId="1450661117">
    <w:abstractNumId w:val="14"/>
  </w:num>
  <w:num w:numId="23" w16cid:durableId="2045061634">
    <w:abstractNumId w:val="21"/>
  </w:num>
  <w:num w:numId="24" w16cid:durableId="827598681">
    <w:abstractNumId w:val="12"/>
  </w:num>
  <w:num w:numId="25" w16cid:durableId="632294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63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0CD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980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995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2B3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97C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EF7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26C0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0CCC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3AE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17FF"/>
    <w:rsid w:val="009220A3"/>
    <w:rsid w:val="0092217D"/>
    <w:rsid w:val="0092277F"/>
    <w:rsid w:val="00922DD2"/>
    <w:rsid w:val="00923468"/>
    <w:rsid w:val="00923812"/>
    <w:rsid w:val="009238CC"/>
    <w:rsid w:val="00923EE2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BE0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EDD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B63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5FD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688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CED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35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023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5E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A0A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8C6C4"/>
  <w15:docId w15:val="{FF7039EB-ACD4-4929-9320-56967E0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Variable" w:semiHidden="1" w:unhideWhenUsed="1"/>
    <w:lsdException w:name="Normal Table" w:locked="0" w:semiHidden="1" w:unhideWhenUsed="1"/>
    <w:lsdException w:name="No List" w:locked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EA2A1-87FB-4094-88F1-3A11A92F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2</cp:revision>
  <cp:lastPrinted>2023-01-11T06:39:00Z</cp:lastPrinted>
  <dcterms:created xsi:type="dcterms:W3CDTF">2025-09-14T10:00:00Z</dcterms:created>
  <dcterms:modified xsi:type="dcterms:W3CDTF">2025-09-14T10:00:00Z</dcterms:modified>
</cp:coreProperties>
</file>