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10440" w:type="dxa"/>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3"/>
        <w:gridCol w:w="8457"/>
      </w:tblGrid>
      <w:tr w:rsidR="009F2943" w14:paraId="780F4907" w14:textId="77777777">
        <w:trPr>
          <w:trHeight w:val="1808"/>
        </w:trPr>
        <w:tc>
          <w:tcPr>
            <w:tcW w:w="1983" w:type="dxa"/>
          </w:tcPr>
          <w:p w14:paraId="21D53775" w14:textId="77777777" w:rsidR="009F2943" w:rsidRDefault="007D7D03">
            <w:pPr>
              <w:spacing w:before="120"/>
              <w:rPr>
                <w:rFonts w:ascii="Calibri" w:eastAsia="Calibri" w:hAnsi="Calibri" w:cs="Calibri"/>
                <w:b/>
              </w:rPr>
            </w:pPr>
            <w:r>
              <w:rPr>
                <w:rFonts w:ascii="Calibri" w:eastAsia="Calibri" w:hAnsi="Calibri" w:cs="Calibri"/>
                <w:b/>
              </w:rPr>
              <w:t>Brief</w:t>
            </w:r>
          </w:p>
        </w:tc>
        <w:tc>
          <w:tcPr>
            <w:tcW w:w="8457" w:type="dxa"/>
          </w:tcPr>
          <w:p w14:paraId="0BBD4BBD" w14:textId="47576DDD" w:rsidR="009F2943" w:rsidRDefault="007D7D03">
            <w:pPr>
              <w:spacing w:before="120" w:after="120"/>
              <w:ind w:left="162" w:right="252"/>
              <w:jc w:val="both"/>
              <w:rPr>
                <w:rFonts w:ascii="Calibri" w:eastAsia="Calibri" w:hAnsi="Calibri" w:cs="Calibri"/>
              </w:rPr>
            </w:pPr>
            <w:r>
              <w:rPr>
                <w:rFonts w:ascii="Calibri" w:eastAsia="Calibri" w:hAnsi="Calibri" w:cs="Calibri"/>
              </w:rPr>
              <w:t>A clear desk policy is an important tool to ensure that all sensitive/confidential materials are removed from an end-user workspace and locked away when the items are not in use or an employee leaves his/her workstation. It is one of the strategies to utilize when trying to reduce the risk of security breaches in the workplace. This policy is to increase employee’s awareness about protecting sensitive information.</w:t>
            </w:r>
          </w:p>
        </w:tc>
      </w:tr>
      <w:tr w:rsidR="009F2943" w14:paraId="67DBF7A4" w14:textId="77777777">
        <w:trPr>
          <w:trHeight w:val="1304"/>
        </w:trPr>
        <w:tc>
          <w:tcPr>
            <w:tcW w:w="1983" w:type="dxa"/>
          </w:tcPr>
          <w:p w14:paraId="7D719AA9" w14:textId="77777777" w:rsidR="009F2943" w:rsidRDefault="007D7D03">
            <w:pPr>
              <w:spacing w:before="120"/>
              <w:rPr>
                <w:rFonts w:ascii="Calibri" w:eastAsia="Calibri" w:hAnsi="Calibri" w:cs="Calibri"/>
                <w:b/>
              </w:rPr>
            </w:pPr>
            <w:r>
              <w:rPr>
                <w:rFonts w:ascii="Calibri" w:eastAsia="Calibri" w:hAnsi="Calibri" w:cs="Calibri"/>
                <w:b/>
              </w:rPr>
              <w:t>Purpose</w:t>
            </w:r>
          </w:p>
        </w:tc>
        <w:tc>
          <w:tcPr>
            <w:tcW w:w="8457" w:type="dxa"/>
          </w:tcPr>
          <w:p w14:paraId="0A472ED2" w14:textId="30A97F2D" w:rsidR="009F2943" w:rsidRDefault="007D7D03">
            <w:pPr>
              <w:spacing w:before="120" w:after="120"/>
              <w:ind w:left="162" w:right="252"/>
              <w:jc w:val="both"/>
              <w:rPr>
                <w:rFonts w:ascii="Calibri" w:eastAsia="Calibri" w:hAnsi="Calibri" w:cs="Calibri"/>
              </w:rPr>
            </w:pPr>
            <w:r>
              <w:rPr>
                <w:rFonts w:ascii="Calibri" w:eastAsia="Calibri" w:hAnsi="Calibri" w:cs="Calibri"/>
              </w:rPr>
              <w:t xml:space="preserve">The purpose </w:t>
            </w:r>
            <w:r w:rsidR="00B466D9">
              <w:rPr>
                <w:rFonts w:ascii="Calibri" w:eastAsia="Calibri" w:hAnsi="Calibri" w:cs="Calibri"/>
              </w:rPr>
              <w:t>of</w:t>
            </w:r>
            <w:r>
              <w:rPr>
                <w:rFonts w:ascii="Calibri" w:eastAsia="Calibri" w:hAnsi="Calibri" w:cs="Calibri"/>
              </w:rPr>
              <w:t xml:space="preserve"> this policy is to establish a culture of security and trust for all employees at SMSA. An effective clear desk effort involving the participation and support of all SMSA employees can greatly protect paper documents that contain sensitive information about our clients, customers and vendors.  All employees should familiarize themselves with the guidelines of this policy.</w:t>
            </w:r>
          </w:p>
        </w:tc>
      </w:tr>
      <w:tr w:rsidR="009F2943" w14:paraId="2D713FB6" w14:textId="77777777">
        <w:trPr>
          <w:trHeight w:val="500"/>
        </w:trPr>
        <w:tc>
          <w:tcPr>
            <w:tcW w:w="1983" w:type="dxa"/>
          </w:tcPr>
          <w:p w14:paraId="7CB8481C" w14:textId="77777777" w:rsidR="009F2943" w:rsidRDefault="007D7D03">
            <w:pPr>
              <w:spacing w:before="120" w:after="120"/>
              <w:rPr>
                <w:rFonts w:ascii="Calibri" w:eastAsia="Calibri" w:hAnsi="Calibri" w:cs="Calibri"/>
                <w:b/>
              </w:rPr>
            </w:pPr>
            <w:r>
              <w:rPr>
                <w:rFonts w:ascii="Calibri" w:eastAsia="Calibri" w:hAnsi="Calibri" w:cs="Calibri"/>
                <w:b/>
              </w:rPr>
              <w:t xml:space="preserve">Persons Affected </w:t>
            </w:r>
          </w:p>
        </w:tc>
        <w:tc>
          <w:tcPr>
            <w:tcW w:w="8457" w:type="dxa"/>
          </w:tcPr>
          <w:p w14:paraId="44B34BD7" w14:textId="33532475" w:rsidR="009F2943" w:rsidRDefault="007D7D03">
            <w:pPr>
              <w:spacing w:before="120" w:after="120"/>
              <w:ind w:left="162" w:right="252"/>
              <w:jc w:val="both"/>
              <w:rPr>
                <w:rFonts w:ascii="Calibri" w:eastAsia="Calibri" w:hAnsi="Calibri" w:cs="Calibri"/>
              </w:rPr>
            </w:pPr>
            <w:r>
              <w:rPr>
                <w:rFonts w:ascii="Calibri" w:eastAsia="Calibri" w:hAnsi="Calibri" w:cs="Calibri"/>
              </w:rPr>
              <w:t>All SMSA</w:t>
            </w:r>
            <w:r w:rsidR="00D168E3">
              <w:rPr>
                <w:rFonts w:ascii="Calibri" w:eastAsia="Calibri" w:hAnsi="Calibri" w:cs="Calibri"/>
              </w:rPr>
              <w:t xml:space="preserve"> Egypt</w:t>
            </w:r>
            <w:r>
              <w:rPr>
                <w:rFonts w:ascii="Calibri" w:eastAsia="Calibri" w:hAnsi="Calibri" w:cs="Calibri"/>
              </w:rPr>
              <w:t xml:space="preserve"> employees are covered by this policy.</w:t>
            </w:r>
          </w:p>
        </w:tc>
      </w:tr>
      <w:tr w:rsidR="009F2943" w14:paraId="5DC1FA50" w14:textId="77777777" w:rsidTr="00215A4E">
        <w:trPr>
          <w:trHeight w:val="2591"/>
        </w:trPr>
        <w:tc>
          <w:tcPr>
            <w:tcW w:w="1983" w:type="dxa"/>
          </w:tcPr>
          <w:p w14:paraId="6CA60354" w14:textId="77777777" w:rsidR="009F2943" w:rsidRDefault="007D7D03">
            <w:pPr>
              <w:spacing w:before="120" w:after="120"/>
              <w:rPr>
                <w:rFonts w:ascii="Calibri" w:eastAsia="Calibri" w:hAnsi="Calibri" w:cs="Calibri"/>
                <w:b/>
              </w:rPr>
            </w:pPr>
            <w:r>
              <w:rPr>
                <w:rFonts w:ascii="Calibri" w:eastAsia="Calibri" w:hAnsi="Calibri" w:cs="Calibri"/>
                <w:b/>
              </w:rPr>
              <w:t>Responsibilities</w:t>
            </w:r>
          </w:p>
        </w:tc>
        <w:tc>
          <w:tcPr>
            <w:tcW w:w="8457" w:type="dxa"/>
          </w:tcPr>
          <w:p w14:paraId="37DAA208" w14:textId="77777777" w:rsidR="009F2943" w:rsidRDefault="007D7D03">
            <w:pPr>
              <w:spacing w:before="120" w:after="240"/>
              <w:ind w:left="162" w:right="252"/>
              <w:jc w:val="both"/>
              <w:rPr>
                <w:rFonts w:ascii="Calibri" w:eastAsia="Calibri" w:hAnsi="Calibri" w:cs="Calibri"/>
              </w:rPr>
            </w:pPr>
            <w:r>
              <w:rPr>
                <w:rFonts w:ascii="Calibri" w:eastAsia="Calibri" w:hAnsi="Calibri" w:cs="Calibri"/>
              </w:rPr>
              <w:t>At known extended periods away from your desk, such as a lunch break, sensitive working papers are expected to be placed in locked drawers.</w:t>
            </w:r>
          </w:p>
          <w:p w14:paraId="5986D1C4" w14:textId="77777777" w:rsidR="009F2943" w:rsidRDefault="007D7D03">
            <w:pPr>
              <w:ind w:left="162" w:right="252"/>
              <w:jc w:val="both"/>
              <w:rPr>
                <w:rFonts w:ascii="Calibri" w:eastAsia="Calibri" w:hAnsi="Calibri" w:cs="Calibri"/>
              </w:rPr>
            </w:pPr>
            <w:r>
              <w:rPr>
                <w:rFonts w:ascii="Calibri" w:eastAsia="Calibri" w:hAnsi="Calibri" w:cs="Calibri"/>
              </w:rPr>
              <w:t xml:space="preserve">At the end of the working day, the employee is expected to tidy their desk and to put away all office papers. SMSA provides locking desks and filing cabinets for this purpose. </w:t>
            </w:r>
          </w:p>
          <w:p w14:paraId="242A2346" w14:textId="77777777" w:rsidR="009F2943" w:rsidRDefault="009F2943">
            <w:pPr>
              <w:ind w:left="162" w:right="252"/>
              <w:jc w:val="both"/>
              <w:rPr>
                <w:rFonts w:ascii="Calibri" w:eastAsia="Calibri" w:hAnsi="Calibri" w:cs="Calibri"/>
              </w:rPr>
            </w:pPr>
          </w:p>
          <w:p w14:paraId="020A3C8F" w14:textId="789A0048" w:rsidR="009F2943" w:rsidRDefault="007D7D03" w:rsidP="00215A4E">
            <w:pPr>
              <w:ind w:left="162" w:right="252"/>
              <w:jc w:val="both"/>
              <w:rPr>
                <w:rFonts w:ascii="Calibri" w:eastAsia="Calibri" w:hAnsi="Calibri" w:cs="Calibri"/>
              </w:rPr>
            </w:pPr>
            <w:r>
              <w:rPr>
                <w:rFonts w:ascii="Calibri" w:eastAsia="Calibri" w:hAnsi="Calibri" w:cs="Calibri"/>
              </w:rPr>
              <w:t>HRD are responsible for the entire compliance.</w:t>
            </w:r>
          </w:p>
        </w:tc>
      </w:tr>
      <w:tr w:rsidR="009F2943" w14:paraId="544422A3" w14:textId="77777777">
        <w:trPr>
          <w:trHeight w:val="1034"/>
        </w:trPr>
        <w:tc>
          <w:tcPr>
            <w:tcW w:w="1983" w:type="dxa"/>
          </w:tcPr>
          <w:p w14:paraId="75ACAA06" w14:textId="77777777" w:rsidR="009F2943" w:rsidRDefault="007D7D03">
            <w:pPr>
              <w:spacing w:before="120"/>
              <w:rPr>
                <w:rFonts w:ascii="Calibri" w:eastAsia="Calibri" w:hAnsi="Calibri" w:cs="Calibri"/>
                <w:b/>
              </w:rPr>
            </w:pPr>
            <w:r>
              <w:rPr>
                <w:rFonts w:ascii="Calibri" w:eastAsia="Calibri" w:hAnsi="Calibri" w:cs="Calibri"/>
                <w:b/>
              </w:rPr>
              <w:t>Guidelines</w:t>
            </w:r>
          </w:p>
        </w:tc>
        <w:tc>
          <w:tcPr>
            <w:tcW w:w="8457" w:type="dxa"/>
          </w:tcPr>
          <w:p w14:paraId="7C03ACA6" w14:textId="77777777" w:rsidR="009F2943" w:rsidRDefault="009F2943">
            <w:pPr>
              <w:ind w:left="720" w:right="252"/>
              <w:jc w:val="both"/>
              <w:rPr>
                <w:rFonts w:ascii="Calibri" w:eastAsia="Calibri" w:hAnsi="Calibri" w:cs="Calibri"/>
              </w:rPr>
            </w:pPr>
          </w:p>
          <w:p w14:paraId="340361E7" w14:textId="77777777" w:rsidR="009F2943" w:rsidRDefault="007D7D03">
            <w:pPr>
              <w:numPr>
                <w:ilvl w:val="0"/>
                <w:numId w:val="1"/>
              </w:numPr>
              <w:ind w:right="252"/>
              <w:jc w:val="both"/>
              <w:rPr>
                <w:rFonts w:ascii="Calibri" w:eastAsia="Calibri" w:hAnsi="Calibri" w:cs="Calibri"/>
              </w:rPr>
            </w:pPr>
            <w:r>
              <w:rPr>
                <w:rFonts w:ascii="Calibri" w:eastAsia="Calibri" w:hAnsi="Calibri" w:cs="Calibri"/>
              </w:rPr>
              <w:t>Allocate time in your calendar to clear away your paperwork.</w:t>
            </w:r>
          </w:p>
          <w:p w14:paraId="00CFAFAB" w14:textId="77777777" w:rsidR="009F2943" w:rsidRDefault="007D7D03">
            <w:pPr>
              <w:numPr>
                <w:ilvl w:val="0"/>
                <w:numId w:val="1"/>
              </w:numPr>
              <w:ind w:right="252"/>
              <w:jc w:val="both"/>
              <w:rPr>
                <w:rFonts w:ascii="Calibri" w:eastAsia="Calibri" w:hAnsi="Calibri" w:cs="Calibri"/>
              </w:rPr>
            </w:pPr>
            <w:r>
              <w:rPr>
                <w:rFonts w:ascii="Calibri" w:eastAsia="Calibri" w:hAnsi="Calibri" w:cs="Calibri"/>
              </w:rPr>
              <w:t>Always clear your workspace before leaving for longer periods of time.</w:t>
            </w:r>
          </w:p>
          <w:p w14:paraId="3A92D0F1" w14:textId="305E7F54" w:rsidR="009F2943" w:rsidRDefault="001859A6">
            <w:pPr>
              <w:numPr>
                <w:ilvl w:val="0"/>
                <w:numId w:val="1"/>
              </w:numPr>
              <w:ind w:right="252"/>
              <w:jc w:val="both"/>
              <w:rPr>
                <w:rFonts w:ascii="Calibri" w:eastAsia="Calibri" w:hAnsi="Calibri" w:cs="Calibri"/>
              </w:rPr>
            </w:pPr>
            <w:r>
              <w:rPr>
                <w:rFonts w:ascii="Calibri" w:eastAsia="Calibri" w:hAnsi="Calibri" w:cs="Calibri"/>
              </w:rPr>
              <w:t>I</w:t>
            </w:r>
            <w:r w:rsidR="007D7D03">
              <w:rPr>
                <w:rFonts w:ascii="Calibri" w:eastAsia="Calibri" w:hAnsi="Calibri" w:cs="Calibri"/>
              </w:rPr>
              <w:t>f you are unsure of whether a duplicate piece of sensitive documentation should be kept - it will probably be better to place it in the shred bin.</w:t>
            </w:r>
          </w:p>
          <w:p w14:paraId="2D6692A2" w14:textId="77777777" w:rsidR="009F2943" w:rsidRDefault="007D7D03">
            <w:pPr>
              <w:numPr>
                <w:ilvl w:val="0"/>
                <w:numId w:val="1"/>
              </w:numPr>
              <w:ind w:right="252"/>
              <w:jc w:val="both"/>
              <w:rPr>
                <w:rFonts w:ascii="Calibri" w:eastAsia="Calibri" w:hAnsi="Calibri" w:cs="Calibri"/>
              </w:rPr>
            </w:pPr>
            <w:r>
              <w:rPr>
                <w:rFonts w:ascii="Calibri" w:eastAsia="Calibri" w:hAnsi="Calibri" w:cs="Calibri"/>
              </w:rPr>
              <w:t>Consider scanning paper items and filing them electronically in your workstation.</w:t>
            </w:r>
          </w:p>
          <w:p w14:paraId="53141110" w14:textId="77777777" w:rsidR="009F2943" w:rsidRDefault="007D7D03">
            <w:pPr>
              <w:numPr>
                <w:ilvl w:val="0"/>
                <w:numId w:val="1"/>
              </w:numPr>
              <w:ind w:right="252"/>
              <w:jc w:val="both"/>
              <w:rPr>
                <w:rFonts w:ascii="Calibri" w:eastAsia="Calibri" w:hAnsi="Calibri" w:cs="Calibri"/>
              </w:rPr>
            </w:pPr>
            <w:r>
              <w:rPr>
                <w:rFonts w:ascii="Calibri" w:eastAsia="Calibri" w:hAnsi="Calibri" w:cs="Calibri"/>
              </w:rPr>
              <w:t xml:space="preserve">Use the recycling bins for sensitive documents when they are no longer needed. </w:t>
            </w:r>
          </w:p>
          <w:p w14:paraId="43DF8634" w14:textId="77777777" w:rsidR="009F2943" w:rsidRDefault="007D7D03">
            <w:pPr>
              <w:numPr>
                <w:ilvl w:val="0"/>
                <w:numId w:val="1"/>
              </w:numPr>
              <w:ind w:right="252"/>
              <w:jc w:val="both"/>
              <w:rPr>
                <w:rFonts w:ascii="Calibri" w:eastAsia="Calibri" w:hAnsi="Calibri" w:cs="Calibri"/>
              </w:rPr>
            </w:pPr>
            <w:r>
              <w:rPr>
                <w:rFonts w:ascii="Calibri" w:eastAsia="Calibri" w:hAnsi="Calibri" w:cs="Calibri"/>
              </w:rPr>
              <w:t>Lock your desk and filing cabinets at the end of the day</w:t>
            </w:r>
          </w:p>
          <w:p w14:paraId="712C483D" w14:textId="77777777" w:rsidR="009F2943" w:rsidRDefault="007D7D03">
            <w:pPr>
              <w:numPr>
                <w:ilvl w:val="0"/>
                <w:numId w:val="1"/>
              </w:numPr>
              <w:ind w:right="252"/>
              <w:jc w:val="both"/>
              <w:rPr>
                <w:rFonts w:ascii="Calibri" w:eastAsia="Calibri" w:hAnsi="Calibri" w:cs="Calibri"/>
              </w:rPr>
            </w:pPr>
            <w:r>
              <w:rPr>
                <w:rFonts w:ascii="Calibri" w:eastAsia="Calibri" w:hAnsi="Calibri" w:cs="Calibri"/>
              </w:rPr>
              <w:t>Lock away portable computing devices such as laptops or PDA devices</w:t>
            </w:r>
          </w:p>
          <w:p w14:paraId="4ADC33B6" w14:textId="77777777" w:rsidR="009F2943" w:rsidRDefault="007D7D03">
            <w:pPr>
              <w:numPr>
                <w:ilvl w:val="0"/>
                <w:numId w:val="1"/>
              </w:numPr>
              <w:ind w:right="252"/>
              <w:jc w:val="both"/>
              <w:rPr>
                <w:rFonts w:ascii="Calibri" w:eastAsia="Calibri" w:hAnsi="Calibri" w:cs="Calibri"/>
                <w:b/>
              </w:rPr>
            </w:pPr>
            <w:r>
              <w:rPr>
                <w:rFonts w:ascii="Calibri" w:eastAsia="Calibri" w:hAnsi="Calibri" w:cs="Calibri"/>
              </w:rPr>
              <w:t>Treat mass storage devices such as CDROM, DVD or USB drives as sensitive and secure them in a locked drawer</w:t>
            </w:r>
          </w:p>
          <w:p w14:paraId="7CB8A827" w14:textId="77777777" w:rsidR="009F2943" w:rsidRDefault="007D7D03">
            <w:pPr>
              <w:numPr>
                <w:ilvl w:val="0"/>
                <w:numId w:val="1"/>
              </w:numPr>
              <w:ind w:right="252"/>
              <w:jc w:val="both"/>
              <w:rPr>
                <w:rFonts w:ascii="Calibri" w:eastAsia="Calibri" w:hAnsi="Calibri" w:cs="Calibri"/>
                <w:b/>
              </w:rPr>
            </w:pPr>
            <w:r>
              <w:rPr>
                <w:rFonts w:ascii="Calibri" w:eastAsia="Calibri" w:hAnsi="Calibri" w:cs="Calibri"/>
              </w:rPr>
              <w:t>Any employee found to have violated this policy may be subject to disciplinary action, up to and including termination of employment.</w:t>
            </w:r>
          </w:p>
          <w:p w14:paraId="5317D49B" w14:textId="77777777" w:rsidR="009F2943" w:rsidRDefault="009F2943">
            <w:pPr>
              <w:ind w:left="720" w:right="252"/>
              <w:jc w:val="both"/>
              <w:rPr>
                <w:rFonts w:ascii="Calibri" w:eastAsia="Calibri" w:hAnsi="Calibri" w:cs="Calibri"/>
                <w:b/>
              </w:rPr>
            </w:pPr>
          </w:p>
        </w:tc>
      </w:tr>
      <w:tr w:rsidR="009F2943" w14:paraId="2B6D40BB" w14:textId="77777777" w:rsidTr="00215A4E">
        <w:trPr>
          <w:trHeight w:val="791"/>
        </w:trPr>
        <w:tc>
          <w:tcPr>
            <w:tcW w:w="1983" w:type="dxa"/>
          </w:tcPr>
          <w:p w14:paraId="54F1A95F" w14:textId="77777777" w:rsidR="009F2943" w:rsidRDefault="007D7D03">
            <w:pPr>
              <w:spacing w:before="120"/>
              <w:rPr>
                <w:rFonts w:ascii="Calibri" w:eastAsia="Calibri" w:hAnsi="Calibri" w:cs="Calibri"/>
                <w:b/>
              </w:rPr>
            </w:pPr>
            <w:r>
              <w:rPr>
                <w:rFonts w:ascii="Calibri" w:eastAsia="Calibri" w:hAnsi="Calibri" w:cs="Calibri"/>
                <w:b/>
              </w:rPr>
              <w:t>General</w:t>
            </w:r>
          </w:p>
        </w:tc>
        <w:tc>
          <w:tcPr>
            <w:tcW w:w="8457" w:type="dxa"/>
          </w:tcPr>
          <w:p w14:paraId="55FB7967" w14:textId="77777777" w:rsidR="009F2943" w:rsidRDefault="007D7D03">
            <w:pPr>
              <w:spacing w:before="120"/>
              <w:ind w:left="162" w:right="252"/>
              <w:jc w:val="both"/>
              <w:rPr>
                <w:rFonts w:ascii="Calibri" w:eastAsia="Calibri" w:hAnsi="Calibri" w:cs="Calibri"/>
              </w:rPr>
            </w:pPr>
            <w:r>
              <w:rPr>
                <w:rFonts w:ascii="Calibri" w:eastAsia="Calibri" w:hAnsi="Calibri" w:cs="Calibri"/>
              </w:rPr>
              <w:t xml:space="preserve">Any exception to this policy must be approved by the Managing Director </w:t>
            </w:r>
          </w:p>
        </w:tc>
      </w:tr>
    </w:tbl>
    <w:p w14:paraId="19591762" w14:textId="77777777" w:rsidR="009F2943" w:rsidRDefault="009F2943"/>
    <w:sectPr w:rsidR="009F2943" w:rsidSect="00215A4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432" w:footer="57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945DE" w14:textId="77777777" w:rsidR="00BE3083" w:rsidRDefault="00BE3083">
      <w:r>
        <w:separator/>
      </w:r>
    </w:p>
  </w:endnote>
  <w:endnote w:type="continuationSeparator" w:id="0">
    <w:p w14:paraId="14B89BF2" w14:textId="77777777" w:rsidR="00BE3083" w:rsidRDefault="00BE3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6AF1D" w14:textId="77777777" w:rsidR="00215A4E" w:rsidRDefault="00215A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35BC4" w14:textId="68C94227" w:rsidR="00215A4E" w:rsidRPr="00E60128" w:rsidRDefault="00E60128" w:rsidP="00215A4E">
    <w:pPr>
      <w:pStyle w:val="Footer"/>
      <w:tabs>
        <w:tab w:val="clear" w:pos="8640"/>
        <w:tab w:val="right" w:pos="9360"/>
      </w:tabs>
      <w:rPr>
        <w:rFonts w:asciiTheme="minorHAnsi" w:hAnsiTheme="minorHAnsi" w:cstheme="minorHAnsi"/>
        <w:sz w:val="20"/>
        <w:szCs w:val="20"/>
      </w:rPr>
    </w:pPr>
    <w:bookmarkStart w:id="3" w:name="_Hlk153133482"/>
    <w:r w:rsidRPr="00F22BD9">
      <w:rPr>
        <w:rFonts w:asciiTheme="minorHAnsi" w:hAnsiTheme="minorHAnsi" w:cstheme="minorHAnsi"/>
        <w:sz w:val="20"/>
        <w:szCs w:val="20"/>
      </w:rPr>
      <w:t xml:space="preserve">Page </w:t>
    </w:r>
    <w:r w:rsidRPr="00F22BD9">
      <w:rPr>
        <w:rFonts w:asciiTheme="minorHAnsi" w:hAnsiTheme="minorHAnsi" w:cstheme="minorHAnsi"/>
        <w:sz w:val="20"/>
        <w:szCs w:val="20"/>
      </w:rPr>
      <w:fldChar w:fldCharType="begin"/>
    </w:r>
    <w:r w:rsidRPr="00F22BD9">
      <w:rPr>
        <w:rFonts w:asciiTheme="minorHAnsi" w:hAnsiTheme="minorHAnsi" w:cstheme="minorHAnsi"/>
        <w:sz w:val="20"/>
        <w:szCs w:val="20"/>
      </w:rPr>
      <w:instrText xml:space="preserve"> PAGE </w:instrText>
    </w:r>
    <w:r w:rsidRPr="00F22BD9">
      <w:rPr>
        <w:rFonts w:asciiTheme="minorHAnsi" w:hAnsiTheme="minorHAnsi" w:cstheme="minorHAnsi"/>
        <w:sz w:val="20"/>
        <w:szCs w:val="20"/>
      </w:rPr>
      <w:fldChar w:fldCharType="separate"/>
    </w:r>
    <w:r w:rsidR="00B745E3">
      <w:rPr>
        <w:rFonts w:asciiTheme="minorHAnsi" w:hAnsiTheme="minorHAnsi" w:cstheme="minorHAnsi"/>
        <w:noProof/>
        <w:sz w:val="20"/>
        <w:szCs w:val="20"/>
      </w:rPr>
      <w:t>1</w:t>
    </w:r>
    <w:r w:rsidRPr="00F22BD9">
      <w:rPr>
        <w:rFonts w:asciiTheme="minorHAnsi" w:hAnsiTheme="minorHAnsi" w:cstheme="minorHAnsi"/>
        <w:sz w:val="20"/>
        <w:szCs w:val="20"/>
      </w:rPr>
      <w:fldChar w:fldCharType="end"/>
    </w:r>
    <w:r w:rsidRPr="00F22BD9">
      <w:rPr>
        <w:rFonts w:asciiTheme="minorHAnsi" w:hAnsiTheme="minorHAnsi" w:cstheme="minorHAnsi"/>
        <w:sz w:val="20"/>
        <w:szCs w:val="20"/>
      </w:rPr>
      <w:t xml:space="preserve"> of </w:t>
    </w:r>
    <w:r w:rsidRPr="00F22BD9">
      <w:rPr>
        <w:rFonts w:asciiTheme="minorHAnsi" w:hAnsiTheme="minorHAnsi" w:cstheme="minorHAnsi"/>
        <w:sz w:val="20"/>
        <w:szCs w:val="20"/>
      </w:rPr>
      <w:fldChar w:fldCharType="begin"/>
    </w:r>
    <w:r w:rsidRPr="00F22BD9">
      <w:rPr>
        <w:rFonts w:asciiTheme="minorHAnsi" w:hAnsiTheme="minorHAnsi" w:cstheme="minorHAnsi"/>
        <w:sz w:val="20"/>
        <w:szCs w:val="20"/>
      </w:rPr>
      <w:instrText xml:space="preserve"> NUMPAGES  </w:instrText>
    </w:r>
    <w:r w:rsidRPr="00F22BD9">
      <w:rPr>
        <w:rFonts w:asciiTheme="minorHAnsi" w:hAnsiTheme="minorHAnsi" w:cstheme="minorHAnsi"/>
        <w:sz w:val="20"/>
        <w:szCs w:val="20"/>
      </w:rPr>
      <w:fldChar w:fldCharType="separate"/>
    </w:r>
    <w:r w:rsidR="00B745E3">
      <w:rPr>
        <w:rFonts w:asciiTheme="minorHAnsi" w:hAnsiTheme="minorHAnsi" w:cstheme="minorHAnsi"/>
        <w:noProof/>
        <w:sz w:val="20"/>
        <w:szCs w:val="20"/>
      </w:rPr>
      <w:t>2</w:t>
    </w:r>
    <w:r w:rsidRPr="00F22BD9">
      <w:rPr>
        <w:rFonts w:asciiTheme="minorHAnsi" w:hAnsiTheme="minorHAnsi" w:cstheme="minorHAnsi"/>
        <w:sz w:val="20"/>
        <w:szCs w:val="20"/>
      </w:rPr>
      <w:fldChar w:fldCharType="end"/>
    </w:r>
    <w:r w:rsidRPr="00F22BD9">
      <w:rPr>
        <w:rFonts w:asciiTheme="minorHAnsi" w:hAnsiTheme="minorHAnsi" w:cstheme="minorHAnsi"/>
        <w:sz w:val="20"/>
        <w:szCs w:val="20"/>
      </w:rPr>
      <w:tab/>
    </w:r>
    <w:r w:rsidR="00215A4E">
      <w:rPr>
        <w:rFonts w:asciiTheme="minorHAnsi" w:hAnsiTheme="minorHAnsi" w:cstheme="minorHAnsi"/>
        <w:sz w:val="20"/>
        <w:szCs w:val="20"/>
      </w:rPr>
      <w:t xml:space="preserve">                                          </w:t>
    </w:r>
    <w:r w:rsidRPr="00F22BD9">
      <w:rPr>
        <w:rFonts w:asciiTheme="minorHAnsi" w:hAnsiTheme="minorHAnsi" w:cstheme="minorHAnsi"/>
        <w:sz w:val="20"/>
        <w:szCs w:val="20"/>
      </w:rPr>
      <w:t>Uncontrolled copy if printed</w:t>
    </w:r>
    <w:r w:rsidRPr="00F22BD9">
      <w:rPr>
        <w:rFonts w:asciiTheme="minorHAnsi" w:hAnsiTheme="minorHAnsi" w:cstheme="minorHAnsi"/>
        <w:sz w:val="20"/>
        <w:szCs w:val="20"/>
      </w:rPr>
      <w:tab/>
    </w:r>
    <w:bookmarkEnd w:id="3"/>
  </w:p>
  <w:p w14:paraId="0F4B8963" w14:textId="21C03115" w:rsidR="009F2943" w:rsidRPr="00E60128" w:rsidRDefault="009F2943" w:rsidP="00E60128">
    <w:pPr>
      <w:pStyle w:val="Footer"/>
      <w:tabs>
        <w:tab w:val="clear" w:pos="8640"/>
        <w:tab w:val="right" w:pos="9360"/>
      </w:tabs>
      <w:rPr>
        <w:rFonts w:asciiTheme="minorHAnsi" w:hAnsiTheme="minorHAnsi" w:cstheme="minorHAns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832C5" w14:textId="77777777" w:rsidR="00215A4E" w:rsidRDefault="00215A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6D224" w14:textId="77777777" w:rsidR="00BE3083" w:rsidRDefault="00BE3083">
      <w:r>
        <w:separator/>
      </w:r>
    </w:p>
  </w:footnote>
  <w:footnote w:type="continuationSeparator" w:id="0">
    <w:p w14:paraId="17C9ED6D" w14:textId="77777777" w:rsidR="00BE3083" w:rsidRDefault="00BE30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128A5" w14:textId="77777777" w:rsidR="00215A4E" w:rsidRDefault="00215A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A1EEA" w14:textId="77777777" w:rsidR="009F2943" w:rsidRDefault="009F2943" w:rsidP="00215A4E">
    <w:pPr>
      <w:widowControl w:val="0"/>
      <w:pBdr>
        <w:top w:val="nil"/>
        <w:left w:val="nil"/>
        <w:bottom w:val="nil"/>
        <w:right w:val="nil"/>
        <w:between w:val="nil"/>
      </w:pBdr>
      <w:spacing w:line="276" w:lineRule="auto"/>
    </w:pPr>
  </w:p>
  <w:tbl>
    <w:tblPr>
      <w:tblStyle w:val="a0"/>
      <w:tblW w:w="10620" w:type="dxa"/>
      <w:tblInd w:w="-547" w:type="dxa"/>
      <w:tblLayout w:type="fixed"/>
      <w:tblLook w:val="0400" w:firstRow="0" w:lastRow="0" w:firstColumn="0" w:lastColumn="0" w:noHBand="0" w:noVBand="1"/>
    </w:tblPr>
    <w:tblGrid>
      <w:gridCol w:w="4230"/>
      <w:gridCol w:w="6390"/>
    </w:tblGrid>
    <w:tr w:rsidR="009F2943" w14:paraId="0CFFCC42" w14:textId="77777777">
      <w:tc>
        <w:tcPr>
          <w:tcW w:w="4230" w:type="dxa"/>
        </w:tcPr>
        <w:p w14:paraId="4CA0E347" w14:textId="77777777" w:rsidR="009F2943" w:rsidRDefault="007D7D03">
          <w:pPr>
            <w:tabs>
              <w:tab w:val="center" w:pos="4320"/>
              <w:tab w:val="right" w:pos="8640"/>
            </w:tabs>
            <w:rPr>
              <w:b/>
              <w:color w:val="000000"/>
              <w:sz w:val="28"/>
              <w:szCs w:val="28"/>
            </w:rPr>
          </w:pPr>
          <w:r>
            <w:rPr>
              <w:noProof/>
            </w:rPr>
            <w:drawing>
              <wp:anchor distT="0" distB="0" distL="114300" distR="114300" simplePos="0" relativeHeight="251660800" behindDoc="0" locked="0" layoutInCell="1" allowOverlap="1" wp14:anchorId="291A738C" wp14:editId="1CBAF9B3">
                <wp:simplePos x="0" y="0"/>
                <wp:positionH relativeFrom="column">
                  <wp:posOffset>-71755</wp:posOffset>
                </wp:positionH>
                <wp:positionV relativeFrom="paragraph">
                  <wp:posOffset>-3175</wp:posOffset>
                </wp:positionV>
                <wp:extent cx="1074420" cy="289560"/>
                <wp:effectExtent l="0" t="0" r="0" b="0"/>
                <wp:wrapSquare wrapText="bothSides"/>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074420" cy="289560"/>
                        </a:xfrm>
                        <a:prstGeom prst="rect">
                          <a:avLst/>
                        </a:prstGeom>
                        <a:ln/>
                      </pic:spPr>
                    </pic:pic>
                  </a:graphicData>
                </a:graphic>
                <wp14:sizeRelH relativeFrom="margin">
                  <wp14:pctWidth>0</wp14:pctWidth>
                </wp14:sizeRelH>
              </wp:anchor>
            </w:drawing>
          </w:r>
        </w:p>
        <w:p w14:paraId="533C06C4" w14:textId="77777777" w:rsidR="009F2943" w:rsidRDefault="009F2943">
          <w:pPr>
            <w:pBdr>
              <w:top w:val="nil"/>
              <w:left w:val="nil"/>
              <w:bottom w:val="nil"/>
              <w:right w:val="nil"/>
              <w:between w:val="nil"/>
            </w:pBdr>
            <w:tabs>
              <w:tab w:val="center" w:pos="4320"/>
              <w:tab w:val="right" w:pos="8640"/>
            </w:tabs>
            <w:rPr>
              <w:b/>
              <w:color w:val="000000"/>
              <w:sz w:val="28"/>
              <w:szCs w:val="28"/>
            </w:rPr>
          </w:pPr>
        </w:p>
      </w:tc>
      <w:tc>
        <w:tcPr>
          <w:tcW w:w="6390" w:type="dxa"/>
        </w:tcPr>
        <w:p w14:paraId="40DC5D3A" w14:textId="5B1AA5C3" w:rsidR="009F2943" w:rsidRPr="00215A4E" w:rsidRDefault="007D7D03" w:rsidP="00E60128">
          <w:pPr>
            <w:pBdr>
              <w:top w:val="nil"/>
              <w:left w:val="nil"/>
              <w:bottom w:val="nil"/>
              <w:right w:val="nil"/>
              <w:between w:val="nil"/>
            </w:pBdr>
            <w:tabs>
              <w:tab w:val="center" w:pos="4320"/>
              <w:tab w:val="right" w:pos="8640"/>
            </w:tabs>
            <w:ind w:right="560"/>
            <w:jc w:val="right"/>
            <w:rPr>
              <w:rFonts w:ascii="Calibri" w:eastAsia="Calibri" w:hAnsi="Calibri" w:cs="Calibri"/>
              <w:b/>
              <w:color w:val="000000"/>
            </w:rPr>
          </w:pPr>
          <w:r w:rsidRPr="00215A4E">
            <w:rPr>
              <w:rFonts w:ascii="Calibri" w:eastAsia="Calibri" w:hAnsi="Calibri" w:cs="Calibri"/>
              <w:b/>
              <w:color w:val="000000"/>
              <w:sz w:val="32"/>
              <w:szCs w:val="32"/>
            </w:rPr>
            <w:t>Clear Desk Policy</w:t>
          </w:r>
          <w:r w:rsidR="00E60128" w:rsidRPr="00215A4E">
            <w:rPr>
              <w:rFonts w:ascii="Calibri" w:eastAsia="Calibri" w:hAnsi="Calibri" w:cs="Calibri"/>
              <w:b/>
              <w:color w:val="000000"/>
              <w:sz w:val="32"/>
              <w:szCs w:val="32"/>
            </w:rPr>
            <w:t xml:space="preserve">  </w:t>
          </w:r>
        </w:p>
        <w:p w14:paraId="252163D6" w14:textId="58DDFE22" w:rsidR="00E60128" w:rsidRPr="00E60128" w:rsidRDefault="00E60128" w:rsidP="00E60128">
          <w:pPr>
            <w:pStyle w:val="Header"/>
            <w:tabs>
              <w:tab w:val="left" w:pos="9276"/>
              <w:tab w:val="right" w:pos="12240"/>
            </w:tabs>
            <w:ind w:right="440"/>
            <w:jc w:val="right"/>
            <w:rPr>
              <w:rFonts w:ascii="Calibri" w:hAnsi="Calibri" w:cs="Calibri"/>
              <w:noProof/>
            </w:rPr>
          </w:pPr>
          <w:bookmarkStart w:id="0" w:name="_Hlk155595190"/>
          <w:bookmarkStart w:id="1" w:name="_Hlk168926521"/>
          <w:bookmarkStart w:id="2" w:name="_Hlk153200234"/>
          <w:r>
            <w:rPr>
              <w:rFonts w:ascii="Calibri" w:hAnsi="Calibri" w:cs="Calibri"/>
            </w:rPr>
            <w:t xml:space="preserve">    Owner/ Department: IBU-EGY, </w:t>
          </w:r>
          <w:bookmarkEnd w:id="0"/>
          <w:bookmarkEnd w:id="1"/>
          <w:r>
            <w:rPr>
              <w:rFonts w:ascii="Calibri" w:hAnsi="Calibri"/>
              <w:noProof/>
            </w:rPr>
            <w:t>HRA</w:t>
          </w:r>
          <w:bookmarkEnd w:id="2"/>
        </w:p>
      </w:tc>
    </w:tr>
  </w:tbl>
  <w:p w14:paraId="4C4BA657" w14:textId="77777777" w:rsidR="009F2943" w:rsidRDefault="009F2943">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BC686" w14:textId="77777777" w:rsidR="00215A4E" w:rsidRDefault="00215A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33AFD"/>
    <w:multiLevelType w:val="multilevel"/>
    <w:tmpl w:val="8398F7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16355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2943"/>
    <w:rsid w:val="001859A6"/>
    <w:rsid w:val="00215A4E"/>
    <w:rsid w:val="003C556C"/>
    <w:rsid w:val="006C6F84"/>
    <w:rsid w:val="007D7D03"/>
    <w:rsid w:val="007E45F9"/>
    <w:rsid w:val="007E6140"/>
    <w:rsid w:val="008439AD"/>
    <w:rsid w:val="009F2943"/>
    <w:rsid w:val="00B466D9"/>
    <w:rsid w:val="00B745E3"/>
    <w:rsid w:val="00BA7B91"/>
    <w:rsid w:val="00BE3083"/>
    <w:rsid w:val="00D168E3"/>
    <w:rsid w:val="00E601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5D0D1E"/>
  <w15:docId w15:val="{85C00C79-863C-46A4-8B1F-051676E6E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semiHidden/>
    <w:unhideWhenUsed/>
    <w:qFormat/>
    <w:rsid w:val="00895F52"/>
    <w:pPr>
      <w:spacing w:before="100" w:beforeAutospacing="1" w:after="100" w:afterAutospacing="1"/>
      <w:outlineLvl w:val="1"/>
    </w:pPr>
    <w:rPr>
      <w:sz w:val="36"/>
      <w:szCs w:val="36"/>
    </w:rPr>
  </w:style>
  <w:style w:type="paragraph" w:styleId="Heading3">
    <w:name w:val="heading 3"/>
    <w:basedOn w:val="Normal"/>
    <w:next w:val="Normal"/>
    <w:link w:val="Heading3Char"/>
    <w:uiPriority w:val="9"/>
    <w:semiHidden/>
    <w:unhideWhenUsed/>
    <w:qFormat/>
    <w:rsid w:val="003B1886"/>
    <w:pPr>
      <w:keepNext/>
      <w:spacing w:before="240" w:after="60"/>
      <w:outlineLvl w:val="2"/>
    </w:pPr>
    <w:rPr>
      <w:rFonts w:ascii="Cambria" w:hAnsi="Cambria"/>
      <w:b/>
      <w:bCs/>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locked/>
    <w:rsid w:val="00C84408"/>
    <w:pPr>
      <w:tabs>
        <w:tab w:val="center" w:pos="4320"/>
        <w:tab w:val="right" w:pos="8640"/>
      </w:tabs>
    </w:pPr>
  </w:style>
  <w:style w:type="paragraph" w:styleId="Footer">
    <w:name w:val="footer"/>
    <w:basedOn w:val="Normal"/>
    <w:link w:val="FooterChar"/>
    <w:uiPriority w:val="99"/>
    <w:locked/>
    <w:rsid w:val="00C84408"/>
    <w:pPr>
      <w:tabs>
        <w:tab w:val="center" w:pos="4320"/>
        <w:tab w:val="right" w:pos="8640"/>
      </w:tabs>
    </w:pPr>
  </w:style>
  <w:style w:type="table" w:styleId="TableGrid">
    <w:name w:val="Table Grid"/>
    <w:basedOn w:val="TableNormal"/>
    <w:locked/>
    <w:rsid w:val="00C84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locked/>
    <w:rsid w:val="00C84408"/>
    <w:rPr>
      <w:b/>
      <w:bCs/>
    </w:rPr>
  </w:style>
  <w:style w:type="table" w:styleId="TableTheme">
    <w:name w:val="Table Theme"/>
    <w:basedOn w:val="TableNormal"/>
    <w:locked/>
    <w:rsid w:val="00C84408"/>
    <w:tblPr>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style>
  <w:style w:type="character" w:styleId="Emphasis">
    <w:name w:val="Emphasis"/>
    <w:basedOn w:val="DefaultParagraphFont"/>
    <w:qFormat/>
    <w:locked/>
    <w:rsid w:val="00547396"/>
    <w:rPr>
      <w:i/>
      <w:iCs/>
    </w:rPr>
  </w:style>
  <w:style w:type="character" w:customStyle="1" w:styleId="HeaderChar">
    <w:name w:val="Header Char"/>
    <w:basedOn w:val="DefaultParagraphFont"/>
    <w:link w:val="Header"/>
    <w:rsid w:val="00616880"/>
    <w:rPr>
      <w:sz w:val="24"/>
      <w:szCs w:val="24"/>
    </w:rPr>
  </w:style>
  <w:style w:type="character" w:customStyle="1" w:styleId="FooterChar">
    <w:name w:val="Footer Char"/>
    <w:basedOn w:val="DefaultParagraphFont"/>
    <w:link w:val="Footer"/>
    <w:uiPriority w:val="99"/>
    <w:rsid w:val="003069FB"/>
    <w:rPr>
      <w:sz w:val="24"/>
      <w:szCs w:val="24"/>
    </w:rPr>
  </w:style>
  <w:style w:type="character" w:styleId="Hyperlink">
    <w:name w:val="Hyperlink"/>
    <w:basedOn w:val="DefaultParagraphFont"/>
    <w:uiPriority w:val="99"/>
    <w:unhideWhenUsed/>
    <w:locked/>
    <w:rsid w:val="00C37430"/>
    <w:rPr>
      <w:strike w:val="0"/>
      <w:dstrike w:val="0"/>
      <w:color w:val="0000FF"/>
      <w:u w:val="none"/>
      <w:effect w:val="none"/>
    </w:rPr>
  </w:style>
  <w:style w:type="character" w:customStyle="1" w:styleId="Heading2Char">
    <w:name w:val="Heading 2 Char"/>
    <w:basedOn w:val="DefaultParagraphFont"/>
    <w:link w:val="Heading2"/>
    <w:uiPriority w:val="9"/>
    <w:rsid w:val="00895F52"/>
    <w:rPr>
      <w:sz w:val="36"/>
      <w:szCs w:val="36"/>
    </w:rPr>
  </w:style>
  <w:style w:type="paragraph" w:styleId="NormalWeb">
    <w:name w:val="Normal (Web)"/>
    <w:basedOn w:val="Normal"/>
    <w:uiPriority w:val="99"/>
    <w:unhideWhenUsed/>
    <w:locked/>
    <w:rsid w:val="00895F52"/>
    <w:pPr>
      <w:spacing w:before="125" w:after="125"/>
    </w:pPr>
  </w:style>
  <w:style w:type="character" w:customStyle="1" w:styleId="Heading3Char">
    <w:name w:val="Heading 3 Char"/>
    <w:basedOn w:val="DefaultParagraphFont"/>
    <w:link w:val="Heading3"/>
    <w:rsid w:val="003B1886"/>
    <w:rPr>
      <w:rFonts w:ascii="Cambria" w:eastAsia="Times New Roman" w:hAnsi="Cambria" w:cs="Times New Roman"/>
      <w:b/>
      <w:bCs/>
      <w:sz w:val="26"/>
      <w:szCs w:val="2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B745E3"/>
    <w:rPr>
      <w:rFonts w:ascii="Tahoma" w:hAnsi="Tahoma" w:cs="Tahoma"/>
      <w:sz w:val="16"/>
      <w:szCs w:val="16"/>
    </w:rPr>
  </w:style>
  <w:style w:type="character" w:customStyle="1" w:styleId="BalloonTextChar">
    <w:name w:val="Balloon Text Char"/>
    <w:basedOn w:val="DefaultParagraphFont"/>
    <w:link w:val="BalloonText"/>
    <w:uiPriority w:val="99"/>
    <w:semiHidden/>
    <w:rsid w:val="00B745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asSLxlG/BQ1E2QFuF1WMihuKzQ==">CgMxLjA4AHIhMXN4WWg0YVFXWlBXWWUxTlN5dlRqYTNSSzdKeG5TUjBR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325</Words>
  <Characters>1858</Characters>
  <Application>Microsoft Office Word</Application>
  <DocSecurity>0</DocSecurity>
  <Lines>15</Lines>
  <Paragraphs>4</Paragraphs>
  <ScaleCrop>false</ScaleCrop>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mlali</dc:creator>
  <cp:lastModifiedBy>Nouf Al Rammah</cp:lastModifiedBy>
  <cp:revision>4</cp:revision>
  <dcterms:created xsi:type="dcterms:W3CDTF">2024-06-11T11:21:00Z</dcterms:created>
  <dcterms:modified xsi:type="dcterms:W3CDTF">2025-09-06T17:15:00Z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ba89c78c54fc8b50372ba4f27640b37af3b7006c82186a0f844e3e6108b90aa9</vt:lpwstr>
  </property>
</Properties>
</file>