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-597712443"/>
        <w:showingPlcHdr/>
      </w:sdtPr>
      <w:sdtContent>
        <w:p w14:paraId="0645CA40" w14:textId="77777777" w:rsidR="00A64F77" w:rsidRDefault="00A64F77" w:rsidP="00A64F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t xml:space="preserve">     </w:t>
          </w:r>
        </w:p>
      </w:sdtContent>
    </w:sdt>
    <w:tbl>
      <w:tblPr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640"/>
      </w:tblGrid>
      <w:tr w:rsidR="00A64F77" w14:paraId="1F150E57" w14:textId="77777777" w:rsidTr="008A43D4">
        <w:tc>
          <w:tcPr>
            <w:tcW w:w="1980" w:type="dxa"/>
          </w:tcPr>
          <w:sdt>
            <w:sdtPr>
              <w:tag w:val="goog_rdk_1"/>
              <w:id w:val="1969859121"/>
            </w:sdtPr>
            <w:sdtContent>
              <w:p w14:paraId="3E6CB558" w14:textId="77777777" w:rsidR="00A64F77" w:rsidRDefault="00A64F77" w:rsidP="008A43D4">
                <w:pPr>
                  <w:spacing w:before="120" w:after="120"/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Overview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2"/>
              <w:id w:val="-1972051900"/>
            </w:sdtPr>
            <w:sdtContent>
              <w:p w14:paraId="6B75BE5E" w14:textId="77777777" w:rsidR="00A64F77" w:rsidRDefault="00A64F77" w:rsidP="008A43D4">
                <w:pPr>
                  <w:spacing w:before="120" w:after="120"/>
                  <w:ind w:leftChars="66" w:left="160" w:right="72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SMSA provides HAL (Hold-At-Location) service for its customer who would prefer to receive their shipment thru any of our </w:t>
                </w:r>
                <w:proofErr w:type="gramStart"/>
                <w:r>
                  <w:rPr>
                    <w:rFonts w:ascii="Calibri" w:eastAsia="Calibri" w:hAnsi="Calibri" w:cs="Calibri"/>
                  </w:rPr>
                  <w:t>branches</w:t>
                </w:r>
                <w:proofErr w:type="gramEnd"/>
                <w:r>
                  <w:rPr>
                    <w:rFonts w:ascii="Calibri" w:eastAsia="Calibri" w:hAnsi="Calibri" w:cs="Calibri"/>
                  </w:rPr>
                  <w:t xml:space="preserve"> kingdom-wide. </w:t>
                </w:r>
              </w:p>
            </w:sdtContent>
          </w:sdt>
        </w:tc>
      </w:tr>
      <w:tr w:rsidR="00A64F77" w14:paraId="1D2C8371" w14:textId="77777777" w:rsidTr="008A43D4">
        <w:tc>
          <w:tcPr>
            <w:tcW w:w="1980" w:type="dxa"/>
          </w:tcPr>
          <w:sdt>
            <w:sdtPr>
              <w:tag w:val="goog_rdk_3"/>
              <w:id w:val="-270244515"/>
            </w:sdtPr>
            <w:sdtContent>
              <w:p w14:paraId="05D3F28E" w14:textId="77777777" w:rsidR="00A64F77" w:rsidRDefault="00A64F77" w:rsidP="008A43D4">
                <w:pPr>
                  <w:spacing w:before="120" w:after="120"/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Person Affected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4"/>
              <w:id w:val="-56865953"/>
            </w:sdtPr>
            <w:sdtContent>
              <w:p w14:paraId="2F0CE7FC" w14:textId="17E0ECAA" w:rsidR="00A64F77" w:rsidRDefault="00A64F77" w:rsidP="008A43D4">
                <w:pPr>
                  <w:spacing w:before="120" w:after="120"/>
                  <w:ind w:leftChars="66" w:left="160" w:right="72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SSC Sales Executives</w:t>
                </w:r>
              </w:p>
            </w:sdtContent>
          </w:sdt>
        </w:tc>
      </w:tr>
      <w:tr w:rsidR="00A64F77" w14:paraId="50ADFDA3" w14:textId="77777777" w:rsidTr="008A43D4">
        <w:tc>
          <w:tcPr>
            <w:tcW w:w="1980" w:type="dxa"/>
          </w:tcPr>
          <w:sdt>
            <w:sdtPr>
              <w:tag w:val="goog_rdk_5"/>
              <w:id w:val="-1017538175"/>
            </w:sdtPr>
            <w:sdtContent>
              <w:p w14:paraId="4FBB582C" w14:textId="77777777" w:rsidR="00A64F77" w:rsidRDefault="00A64F77" w:rsidP="008A43D4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Instruction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6"/>
              <w:id w:val="1034615770"/>
            </w:sdtPr>
            <w:sdtContent>
              <w:p w14:paraId="61326CD2" w14:textId="2AE403C3" w:rsidR="00A64F77" w:rsidRDefault="00A64F77" w:rsidP="00A64F77">
                <w:pPr>
                  <w:numPr>
                    <w:ilvl w:val="0"/>
                    <w:numId w:val="17"/>
                  </w:numPr>
                  <w:spacing w:before="120" w:after="120"/>
                  <w:ind w:leftChars="68" w:left="432" w:right="72" w:hangingChars="112" w:hanging="269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SSC Executive should notify or inform the recipient through telephone calls and SMS facility on the first business day that the shipment arrives at the destination </w:t>
                </w:r>
                <w:proofErr w:type="gramStart"/>
                <w:r>
                  <w:rPr>
                    <w:rFonts w:ascii="Calibri" w:eastAsia="Calibri" w:hAnsi="Calibri" w:cs="Calibri"/>
                  </w:rPr>
                  <w:t>SSC .</w:t>
                </w:r>
                <w:proofErr w:type="gramEnd"/>
              </w:p>
            </w:sdtContent>
          </w:sdt>
          <w:sdt>
            <w:sdtPr>
              <w:tag w:val="goog_rdk_7"/>
              <w:id w:val="1180161808"/>
            </w:sdtPr>
            <w:sdtContent>
              <w:p w14:paraId="66859026" w14:textId="087106B1" w:rsidR="00A64F77" w:rsidRDefault="00A64F77" w:rsidP="00A64F77">
                <w:pPr>
                  <w:numPr>
                    <w:ilvl w:val="0"/>
                    <w:numId w:val="17"/>
                  </w:numPr>
                  <w:spacing w:before="120" w:after="120"/>
                  <w:ind w:leftChars="68" w:left="432" w:right="72" w:hangingChars="112" w:hanging="269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SSC Executive should advise the recipient as part of notification of any charges (for example, transportation, duties, etc.) due prior to the release of HAL shipment whenever applicable.</w:t>
                </w:r>
              </w:p>
            </w:sdtContent>
          </w:sdt>
          <w:sdt>
            <w:sdtPr>
              <w:tag w:val="goog_rdk_8"/>
              <w:id w:val="-440767155"/>
            </w:sdtPr>
            <w:sdtContent>
              <w:p w14:paraId="2CF7F62B" w14:textId="731A6646" w:rsidR="00A64F77" w:rsidRDefault="00A64F77" w:rsidP="00A64F77">
                <w:pPr>
                  <w:numPr>
                    <w:ilvl w:val="0"/>
                    <w:numId w:val="17"/>
                  </w:numPr>
                  <w:spacing w:before="120" w:after="120"/>
                  <w:ind w:leftChars="68" w:left="432" w:right="72" w:hangingChars="112" w:hanging="269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SSC Executive should record the name of the person contacted on (COSMOS) and on the HAL follow-up form.</w:t>
                </w:r>
              </w:p>
            </w:sdtContent>
          </w:sdt>
          <w:sdt>
            <w:sdtPr>
              <w:tag w:val="goog_rdk_9"/>
              <w:id w:val="-1892491809"/>
            </w:sdtPr>
            <w:sdtContent>
              <w:p w14:paraId="3FABACD5" w14:textId="77777777" w:rsidR="00A64F77" w:rsidRDefault="00A64F77" w:rsidP="00A64F77">
                <w:pPr>
                  <w:numPr>
                    <w:ilvl w:val="0"/>
                    <w:numId w:val="17"/>
                  </w:numPr>
                  <w:spacing w:before="120" w:after="120"/>
                  <w:ind w:leftChars="68" w:left="432" w:right="72" w:hangingChars="112" w:hanging="269"/>
                  <w:jc w:val="both"/>
                  <w:rPr>
                    <w:rFonts w:ascii="Calibri" w:eastAsia="Calibri" w:hAnsi="Calibri" w:cs="Calibri"/>
                  </w:rPr>
                </w:pPr>
                <w:proofErr w:type="gramStart"/>
                <w:r>
                  <w:rPr>
                    <w:rFonts w:ascii="Calibri" w:eastAsia="Calibri" w:hAnsi="Calibri" w:cs="Calibri"/>
                  </w:rPr>
                  <w:t>SSC  Executive</w:t>
                </w:r>
                <w:proofErr w:type="gramEnd"/>
                <w:r>
                  <w:rPr>
                    <w:rFonts w:ascii="Calibri" w:eastAsia="Calibri" w:hAnsi="Calibri" w:cs="Calibri"/>
                  </w:rPr>
                  <w:t xml:space="preserve"> should do the notification process for five consecutive working days or until shipment gets delivered within the 5 consecutive working days.</w:t>
                </w:r>
              </w:p>
            </w:sdtContent>
          </w:sdt>
          <w:sdt>
            <w:sdtPr>
              <w:tag w:val="goog_rdk_10"/>
              <w:id w:val="343211541"/>
            </w:sdtPr>
            <w:sdtContent>
              <w:p w14:paraId="38123FB8" w14:textId="77777777" w:rsidR="00A64F77" w:rsidRDefault="00A64F77" w:rsidP="00A64F77">
                <w:pPr>
                  <w:numPr>
                    <w:ilvl w:val="0"/>
                    <w:numId w:val="17"/>
                  </w:numPr>
                  <w:spacing w:before="120" w:after="120"/>
                  <w:ind w:leftChars="68" w:left="432" w:right="72" w:hangingChars="112" w:hanging="269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If shipment remains uncollected after the 5</w:t>
                </w:r>
                <w:r>
                  <w:rPr>
                    <w:rFonts w:ascii="Calibri" w:eastAsia="Calibri" w:hAnsi="Calibri" w:cs="Calibri"/>
                    <w:vertAlign w:val="superscript"/>
                  </w:rPr>
                  <w:t>th</w:t>
                </w:r>
                <w:r>
                  <w:rPr>
                    <w:rFonts w:ascii="Calibri" w:eastAsia="Calibri" w:hAnsi="Calibri" w:cs="Calibri"/>
                  </w:rPr>
                  <w:t xml:space="preserve"> working day, </w:t>
                </w:r>
                <w:proofErr w:type="gramStart"/>
                <w:r>
                  <w:rPr>
                    <w:rFonts w:ascii="Calibri" w:eastAsia="Calibri" w:hAnsi="Calibri" w:cs="Calibri"/>
                  </w:rPr>
                  <w:t>SSC  Executive</w:t>
                </w:r>
                <w:proofErr w:type="gramEnd"/>
                <w:r>
                  <w:rPr>
                    <w:rFonts w:ascii="Calibri" w:eastAsia="Calibri" w:hAnsi="Calibri" w:cs="Calibri"/>
                  </w:rPr>
                  <w:t xml:space="preserve"> must on the 6</w:t>
                </w:r>
                <w:r>
                  <w:rPr>
                    <w:rFonts w:ascii="Calibri" w:eastAsia="Calibri" w:hAnsi="Calibri" w:cs="Calibri"/>
                    <w:vertAlign w:val="superscript"/>
                  </w:rPr>
                  <w:t>th</w:t>
                </w:r>
                <w:r>
                  <w:rPr>
                    <w:rFonts w:ascii="Calibri" w:eastAsia="Calibri" w:hAnsi="Calibri" w:cs="Calibri"/>
                  </w:rPr>
                  <w:t xml:space="preserve"> day do a final call to both sender and recipient of all overdue IB HAL in his </w:t>
                </w:r>
                <w:proofErr w:type="gramStart"/>
                <w:r>
                  <w:rPr>
                    <w:rFonts w:ascii="Calibri" w:eastAsia="Calibri" w:hAnsi="Calibri" w:cs="Calibri"/>
                  </w:rPr>
                  <w:t>SSC  to</w:t>
                </w:r>
                <w:proofErr w:type="gramEnd"/>
                <w:r>
                  <w:rPr>
                    <w:rFonts w:ascii="Calibri" w:eastAsia="Calibri" w:hAnsi="Calibri" w:cs="Calibri"/>
                  </w:rPr>
                  <w:t xml:space="preserve"> promptly inform the customers that shipment will be moved out of the </w:t>
                </w:r>
                <w:proofErr w:type="gramStart"/>
                <w:r>
                  <w:rPr>
                    <w:rFonts w:ascii="Calibri" w:eastAsia="Calibri" w:hAnsi="Calibri" w:cs="Calibri"/>
                  </w:rPr>
                  <w:t>SSC  location</w:t>
                </w:r>
                <w:proofErr w:type="gramEnd"/>
                <w:r>
                  <w:rPr>
                    <w:rFonts w:ascii="Calibri" w:eastAsia="Calibri" w:hAnsi="Calibri" w:cs="Calibri"/>
                  </w:rPr>
                  <w:t xml:space="preserve"> and will be forwarded back to the UTL section.</w:t>
                </w:r>
              </w:p>
            </w:sdtContent>
          </w:sdt>
          <w:sdt>
            <w:sdtPr>
              <w:tag w:val="goog_rdk_11"/>
              <w:id w:val="-847630483"/>
            </w:sdtPr>
            <w:sdtContent>
              <w:p w14:paraId="2F23559A" w14:textId="77777777" w:rsidR="00A64F77" w:rsidRDefault="00A64F77" w:rsidP="00A64F77">
                <w:pPr>
                  <w:numPr>
                    <w:ilvl w:val="0"/>
                    <w:numId w:val="17"/>
                  </w:numPr>
                  <w:spacing w:before="120" w:after="120"/>
                  <w:ind w:leftChars="68" w:left="432" w:right="72" w:hangingChars="112" w:hanging="269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Prior to the return of Overdue IB HAL </w:t>
                </w:r>
                <w:proofErr w:type="gramStart"/>
                <w:r>
                  <w:rPr>
                    <w:rFonts w:ascii="Calibri" w:eastAsia="Calibri" w:hAnsi="Calibri" w:cs="Calibri"/>
                  </w:rPr>
                  <w:t>SSC  Executive</w:t>
                </w:r>
                <w:proofErr w:type="gramEnd"/>
                <w:r>
                  <w:rPr>
                    <w:rFonts w:ascii="Calibri" w:eastAsia="Calibri" w:hAnsi="Calibri" w:cs="Calibri"/>
                  </w:rPr>
                  <w:t xml:space="preserve"> must send an advisory to UTL, CSD and both Origin and Destination stations of operations notifying return of uncollected HAL shipment from the </w:t>
                </w:r>
                <w:proofErr w:type="gramStart"/>
                <w:r>
                  <w:rPr>
                    <w:rFonts w:ascii="Calibri" w:eastAsia="Calibri" w:hAnsi="Calibri" w:cs="Calibri"/>
                  </w:rPr>
                  <w:t>SSC  location</w:t>
                </w:r>
                <w:proofErr w:type="gramEnd"/>
                <w:r>
                  <w:rPr>
                    <w:rFonts w:ascii="Calibri" w:eastAsia="Calibri" w:hAnsi="Calibri" w:cs="Calibri"/>
                  </w:rPr>
                  <w:t>.</w:t>
                </w:r>
              </w:p>
            </w:sdtContent>
          </w:sdt>
          <w:sdt>
            <w:sdtPr>
              <w:tag w:val="goog_rdk_12"/>
              <w:id w:val="-966668858"/>
            </w:sdtPr>
            <w:sdtContent>
              <w:p w14:paraId="7997D407" w14:textId="77777777" w:rsidR="00A64F77" w:rsidRDefault="00A64F77" w:rsidP="00A64F77">
                <w:pPr>
                  <w:numPr>
                    <w:ilvl w:val="0"/>
                    <w:numId w:val="17"/>
                  </w:numPr>
                  <w:spacing w:before="120" w:after="120"/>
                  <w:ind w:leftChars="68" w:left="432" w:right="72" w:hangingChars="112" w:hanging="269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All Overdue IB HAL shipments (5 days and over) should be referred to UTL for final disposition.</w:t>
                </w:r>
              </w:p>
            </w:sdtContent>
          </w:sdt>
        </w:tc>
      </w:tr>
    </w:tbl>
    <w:sdt>
      <w:sdtPr>
        <w:tag w:val="goog_rdk_13"/>
        <w:id w:val="-1895102827"/>
      </w:sdtPr>
      <w:sdtContent>
        <w:p w14:paraId="3DE84209" w14:textId="77777777" w:rsidR="00A64F77" w:rsidRDefault="00000000" w:rsidP="00A64F77">
          <w:pPr>
            <w:ind w:left="0" w:hanging="2"/>
          </w:pPr>
        </w:p>
      </w:sdtContent>
    </w:sdt>
    <w:p w14:paraId="700BE73B" w14:textId="77777777" w:rsidR="00176620" w:rsidRPr="00A64F77" w:rsidRDefault="00176620" w:rsidP="00A64F77">
      <w:pPr>
        <w:ind w:left="0" w:hanging="2"/>
      </w:pPr>
    </w:p>
    <w:sectPr w:rsidR="00176620" w:rsidRPr="00A64F77" w:rsidSect="00234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0DB9" w14:textId="77777777" w:rsidR="00BF352A" w:rsidRDefault="00BF352A" w:rsidP="00A408CE">
      <w:pPr>
        <w:spacing w:line="240" w:lineRule="auto"/>
        <w:ind w:left="0" w:hanging="2"/>
      </w:pPr>
      <w:r>
        <w:separator/>
      </w:r>
    </w:p>
  </w:endnote>
  <w:endnote w:type="continuationSeparator" w:id="0">
    <w:p w14:paraId="0F562A97" w14:textId="77777777" w:rsidR="00BF352A" w:rsidRDefault="00BF352A" w:rsidP="00A408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6020" w14:textId="77777777" w:rsidR="008B0A08" w:rsidRDefault="008B0A0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F1FC" w14:textId="77777777" w:rsidR="00234D85" w:rsidRDefault="00234D85" w:rsidP="00234D85">
    <w:pPr>
      <w:pStyle w:val="Footer"/>
      <w:ind w:left="0" w:hanging="2"/>
      <w:rPr>
        <w:rFonts w:asciiTheme="minorHAnsi" w:hAnsiTheme="minorHAnsi" w:cstheme="minorHAnsi"/>
      </w:rPr>
    </w:pPr>
    <w:bookmarkStart w:id="4" w:name="_Hlk153133482"/>
  </w:p>
  <w:p w14:paraId="73567474" w14:textId="03BBE072" w:rsidR="00986AE2" w:rsidRPr="00234D85" w:rsidRDefault="00234D85" w:rsidP="00986AE2">
    <w:pPr>
      <w:pStyle w:val="Footer"/>
      <w:ind w:left="0" w:hanging="2"/>
      <w:rPr>
        <w:rFonts w:asciiTheme="minorHAnsi" w:hAnsiTheme="minorHAnsi" w:cstheme="minorHAnsi"/>
      </w:rPr>
    </w:pPr>
    <w:r w:rsidRPr="00234D85">
      <w:rPr>
        <w:rFonts w:asciiTheme="minorHAnsi" w:hAnsiTheme="minorHAnsi" w:cstheme="minorHAnsi"/>
      </w:rPr>
      <w:t xml:space="preserve">Page </w:t>
    </w:r>
    <w:r w:rsidRPr="00234D85">
      <w:rPr>
        <w:rFonts w:asciiTheme="minorHAnsi" w:hAnsiTheme="minorHAnsi" w:cstheme="minorHAnsi"/>
      </w:rPr>
      <w:fldChar w:fldCharType="begin"/>
    </w:r>
    <w:r w:rsidRPr="00234D85">
      <w:rPr>
        <w:rFonts w:asciiTheme="minorHAnsi" w:hAnsiTheme="minorHAnsi" w:cstheme="minorHAnsi"/>
      </w:rPr>
      <w:instrText xml:space="preserve"> PAGE </w:instrText>
    </w:r>
    <w:r w:rsidRPr="00234D85">
      <w:rPr>
        <w:rFonts w:asciiTheme="minorHAnsi" w:hAnsiTheme="minorHAnsi" w:cstheme="minorHAnsi"/>
      </w:rPr>
      <w:fldChar w:fldCharType="separate"/>
    </w:r>
    <w:r w:rsidRPr="00234D85">
      <w:rPr>
        <w:rFonts w:asciiTheme="minorHAnsi" w:hAnsiTheme="minorHAnsi" w:cstheme="minorHAnsi"/>
      </w:rPr>
      <w:t>1</w:t>
    </w:r>
    <w:r w:rsidRPr="00234D85">
      <w:rPr>
        <w:rFonts w:asciiTheme="minorHAnsi" w:hAnsiTheme="minorHAnsi" w:cstheme="minorHAnsi"/>
      </w:rPr>
      <w:fldChar w:fldCharType="end"/>
    </w:r>
    <w:r w:rsidRPr="00234D85">
      <w:rPr>
        <w:rFonts w:asciiTheme="minorHAnsi" w:hAnsiTheme="minorHAnsi" w:cstheme="minorHAnsi"/>
      </w:rPr>
      <w:t xml:space="preserve"> of </w:t>
    </w:r>
    <w:r w:rsidRPr="00234D85">
      <w:rPr>
        <w:rFonts w:asciiTheme="minorHAnsi" w:hAnsiTheme="minorHAnsi" w:cstheme="minorHAnsi"/>
      </w:rPr>
      <w:fldChar w:fldCharType="begin"/>
    </w:r>
    <w:r w:rsidRPr="00234D85">
      <w:rPr>
        <w:rFonts w:asciiTheme="minorHAnsi" w:hAnsiTheme="minorHAnsi" w:cstheme="minorHAnsi"/>
      </w:rPr>
      <w:instrText xml:space="preserve"> NUMPAGES  </w:instrText>
    </w:r>
    <w:r w:rsidRPr="00234D85">
      <w:rPr>
        <w:rFonts w:asciiTheme="minorHAnsi" w:hAnsiTheme="minorHAnsi" w:cstheme="minorHAnsi"/>
      </w:rPr>
      <w:fldChar w:fldCharType="separate"/>
    </w:r>
    <w:r w:rsidRPr="00234D85">
      <w:rPr>
        <w:rFonts w:asciiTheme="minorHAnsi" w:hAnsiTheme="minorHAnsi" w:cstheme="minorHAnsi"/>
      </w:rPr>
      <w:t>4</w:t>
    </w:r>
    <w:r w:rsidRPr="00234D85">
      <w:rPr>
        <w:rFonts w:asciiTheme="minorHAnsi" w:hAnsiTheme="minorHAnsi" w:cstheme="minorHAnsi"/>
      </w:rPr>
      <w:fldChar w:fldCharType="end"/>
    </w:r>
    <w:r w:rsidRPr="00234D85">
      <w:rPr>
        <w:rFonts w:asciiTheme="minorHAnsi" w:hAnsiTheme="minorHAnsi" w:cstheme="minorHAnsi"/>
      </w:rPr>
      <w:tab/>
    </w:r>
    <w:r w:rsidR="00986AE2">
      <w:rPr>
        <w:rFonts w:asciiTheme="minorHAnsi" w:hAnsiTheme="minorHAnsi" w:cstheme="minorHAnsi"/>
      </w:rPr>
      <w:t xml:space="preserve">         </w:t>
    </w:r>
    <w:r w:rsidRPr="00234D85">
      <w:rPr>
        <w:rFonts w:asciiTheme="minorHAnsi" w:hAnsiTheme="minorHAnsi" w:cstheme="minorHAnsi"/>
      </w:rPr>
      <w:t>Uncontrolled copy if printed</w:t>
    </w:r>
    <w:r w:rsidRPr="00234D85">
      <w:rPr>
        <w:rFonts w:asciiTheme="minorHAnsi" w:hAnsiTheme="minorHAnsi" w:cstheme="minorHAnsi"/>
      </w:rPr>
      <w:tab/>
    </w:r>
    <w:bookmarkEnd w:id="4"/>
  </w:p>
  <w:p w14:paraId="2E919E1C" w14:textId="322ADF1A" w:rsidR="008B0A08" w:rsidRPr="00234D85" w:rsidRDefault="008B0A08" w:rsidP="00234D85">
    <w:pPr>
      <w:pStyle w:val="Footer"/>
      <w:ind w:left="0" w:hanging="2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DDCF" w14:textId="77777777" w:rsidR="008B0A08" w:rsidRDefault="008B0A0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2C96" w14:textId="77777777" w:rsidR="00BF352A" w:rsidRDefault="00BF352A" w:rsidP="00A408CE">
      <w:pPr>
        <w:spacing w:line="240" w:lineRule="auto"/>
        <w:ind w:left="0" w:hanging="2"/>
      </w:pPr>
      <w:r>
        <w:separator/>
      </w:r>
    </w:p>
  </w:footnote>
  <w:footnote w:type="continuationSeparator" w:id="0">
    <w:p w14:paraId="7497793F" w14:textId="77777777" w:rsidR="00BF352A" w:rsidRDefault="00BF352A" w:rsidP="00A408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2807" w14:textId="77777777" w:rsidR="008B0A08" w:rsidRDefault="008B0A0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89"/>
      <w:id w:val="-1429814402"/>
      <w:showingPlcHdr/>
    </w:sdtPr>
    <w:sdtContent>
      <w:p w14:paraId="014E0C7D" w14:textId="77777777" w:rsidR="008B0A08" w:rsidRDefault="00000000">
        <w:pPr>
          <w:widowControl w:val="0"/>
          <w:pBdr>
            <w:top w:val="nil"/>
            <w:left w:val="nil"/>
            <w:bottom w:val="nil"/>
            <w:right w:val="nil"/>
            <w:between w:val="nil"/>
          </w:pBdr>
          <w:spacing w:line="276" w:lineRule="auto"/>
          <w:ind w:left="0" w:hanging="2"/>
        </w:pPr>
      </w:p>
    </w:sdtContent>
  </w:sdt>
  <w:tbl>
    <w:tblPr>
      <w:tblW w:w="10620" w:type="dxa"/>
      <w:tblInd w:w="-432" w:type="dxa"/>
      <w:tblLayout w:type="fixed"/>
      <w:tblLook w:val="0000" w:firstRow="0" w:lastRow="0" w:firstColumn="0" w:lastColumn="0" w:noHBand="0" w:noVBand="0"/>
    </w:tblPr>
    <w:tblGrid>
      <w:gridCol w:w="2142"/>
      <w:gridCol w:w="8478"/>
    </w:tblGrid>
    <w:tr w:rsidR="0018419D" w14:paraId="1DB4F663" w14:textId="77777777" w:rsidTr="00234D85">
      <w:tc>
        <w:tcPr>
          <w:tcW w:w="2142" w:type="dxa"/>
        </w:tcPr>
        <w:p w14:paraId="6113EDB1" w14:textId="721E0B05" w:rsidR="008B0A08" w:rsidRDefault="00234D85" w:rsidP="00234D8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8"/>
              <w:szCs w:val="28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0881108F" wp14:editId="395870BC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082040" cy="397510"/>
                <wp:effectExtent l="0" t="0" r="3810" b="2540"/>
                <wp:wrapSquare wrapText="bothSides"/>
                <wp:docPr id="2154025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5402534" name="Picture 21540253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040" cy="397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tag w:val="goog_rdk_190"/>
              <w:id w:val="463556021"/>
            </w:sdtPr>
            <w:sdtContent/>
          </w:sdt>
        </w:p>
      </w:tc>
      <w:tc>
        <w:tcPr>
          <w:tcW w:w="8478" w:type="dxa"/>
        </w:tcPr>
        <w:p w14:paraId="2741FE21" w14:textId="2EF3AB11" w:rsidR="008B0A08" w:rsidRPr="00234D85" w:rsidRDefault="00A64F77" w:rsidP="00234D8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0" w:left="0" w:right="560" w:firstLineChars="0" w:firstLine="0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 w:rsidRPr="00234D85"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Inbound Hold</w:t>
          </w:r>
          <w:r w:rsidR="00986AE2"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 xml:space="preserve"> </w:t>
          </w:r>
          <w:proofErr w:type="gramStart"/>
          <w:r w:rsidRPr="00234D85"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At</w:t>
          </w:r>
          <w:proofErr w:type="gramEnd"/>
          <w:r w:rsidR="00986AE2"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 xml:space="preserve"> </w:t>
          </w:r>
          <w:r w:rsidRPr="00234D85"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Location Notification Work Instructions</w:t>
          </w:r>
        </w:p>
        <w:p w14:paraId="29BEF475" w14:textId="749A3568" w:rsidR="008B0A08" w:rsidRPr="00234D85" w:rsidRDefault="00986AE2" w:rsidP="00986A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112"/>
              <w:tab w:val="right" w:pos="7782"/>
            </w:tabs>
            <w:spacing w:line="240" w:lineRule="auto"/>
            <w:ind w:left="0" w:right="480" w:hanging="2"/>
            <w:rPr>
              <w:rFonts w:asciiTheme="minorHAnsi" w:hAnsiTheme="minorHAnsi" w:cstheme="minorHAnsi"/>
              <w:color w:val="000000"/>
            </w:rPr>
          </w:pPr>
          <w:bookmarkStart w:id="0" w:name="_Hlk198732790"/>
          <w:bookmarkStart w:id="1" w:name="_Hlk168926521"/>
          <w:bookmarkStart w:id="2" w:name="_Hlk155595190"/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  <w:r w:rsidR="00234D85" w:rsidRPr="00234D85">
            <w:rPr>
              <w:rFonts w:asciiTheme="minorHAnsi" w:hAnsiTheme="minorHAnsi" w:cstheme="minorHAnsi"/>
            </w:rPr>
            <w:t>Owner/ Department</w:t>
          </w:r>
          <w:bookmarkStart w:id="3" w:name="_Hlk183352789"/>
          <w:r w:rsidR="00234D85" w:rsidRPr="00234D85">
            <w:rPr>
              <w:rFonts w:asciiTheme="minorHAnsi" w:hAnsiTheme="minorHAnsi" w:cstheme="minorHAnsi"/>
            </w:rPr>
            <w:t>: IBU-</w:t>
          </w:r>
          <w:bookmarkEnd w:id="0"/>
          <w:r w:rsidR="00234D85" w:rsidRPr="00234D85">
            <w:rPr>
              <w:rFonts w:asciiTheme="minorHAnsi" w:hAnsiTheme="minorHAnsi" w:cstheme="minorHAnsi"/>
            </w:rPr>
            <w:t xml:space="preserve">EGY, </w:t>
          </w:r>
          <w:bookmarkEnd w:id="1"/>
          <w:bookmarkEnd w:id="2"/>
          <w:bookmarkEnd w:id="3"/>
          <w:r w:rsidR="00234D85" w:rsidRPr="00234D85">
            <w:rPr>
              <w:rFonts w:asciiTheme="minorHAnsi" w:hAnsiTheme="minorHAnsi" w:cstheme="minorHAnsi"/>
              <w:color w:val="000000"/>
            </w:rPr>
            <w:t>SMSA Service Center (SSC)</w:t>
          </w:r>
        </w:p>
      </w:tc>
    </w:tr>
  </w:tbl>
  <w:p w14:paraId="425CEB30" w14:textId="2DD9C589" w:rsidR="008B0A08" w:rsidRDefault="008B0A08" w:rsidP="00234D85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4D48" w14:textId="77777777" w:rsidR="008B0A08" w:rsidRDefault="008B0A0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647"/>
    <w:multiLevelType w:val="multilevel"/>
    <w:tmpl w:val="C44AFA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FC03A2B"/>
    <w:multiLevelType w:val="multilevel"/>
    <w:tmpl w:val="A9B6545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26E7F14"/>
    <w:multiLevelType w:val="multilevel"/>
    <w:tmpl w:val="F4B8BE0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55864AF"/>
    <w:multiLevelType w:val="multilevel"/>
    <w:tmpl w:val="99F6E1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9CB1C72"/>
    <w:multiLevelType w:val="multilevel"/>
    <w:tmpl w:val="D5C0DC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5" w15:restartNumberingAfterBreak="0">
    <w:nsid w:val="2D20512F"/>
    <w:multiLevelType w:val="multilevel"/>
    <w:tmpl w:val="5B1A8B6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6" w15:restartNumberingAfterBreak="0">
    <w:nsid w:val="2FE35F07"/>
    <w:multiLevelType w:val="multilevel"/>
    <w:tmpl w:val="D01A02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5534263"/>
    <w:multiLevelType w:val="multilevel"/>
    <w:tmpl w:val="442E27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8B461D7"/>
    <w:multiLevelType w:val="multilevel"/>
    <w:tmpl w:val="902EE1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B08240A"/>
    <w:multiLevelType w:val="multilevel"/>
    <w:tmpl w:val="ACF47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B082640"/>
    <w:multiLevelType w:val="multilevel"/>
    <w:tmpl w:val="2B5821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2DF0C8B"/>
    <w:multiLevelType w:val="multilevel"/>
    <w:tmpl w:val="C70A6F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9826256"/>
    <w:multiLevelType w:val="multilevel"/>
    <w:tmpl w:val="A4A24C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3" w15:restartNumberingAfterBreak="0">
    <w:nsid w:val="6C6C4BCC"/>
    <w:multiLevelType w:val="multilevel"/>
    <w:tmpl w:val="4782CA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7EA1CE4"/>
    <w:multiLevelType w:val="multilevel"/>
    <w:tmpl w:val="165046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E456EB7"/>
    <w:multiLevelType w:val="multilevel"/>
    <w:tmpl w:val="7902BE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F594055"/>
    <w:multiLevelType w:val="multilevel"/>
    <w:tmpl w:val="9B0493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1561092288">
    <w:abstractNumId w:val="0"/>
  </w:num>
  <w:num w:numId="2" w16cid:durableId="106628871">
    <w:abstractNumId w:val="2"/>
  </w:num>
  <w:num w:numId="3" w16cid:durableId="1446971780">
    <w:abstractNumId w:val="8"/>
  </w:num>
  <w:num w:numId="4" w16cid:durableId="757024011">
    <w:abstractNumId w:val="11"/>
  </w:num>
  <w:num w:numId="5" w16cid:durableId="92361183">
    <w:abstractNumId w:val="6"/>
  </w:num>
  <w:num w:numId="6" w16cid:durableId="1747797674">
    <w:abstractNumId w:val="10"/>
  </w:num>
  <w:num w:numId="7" w16cid:durableId="729311396">
    <w:abstractNumId w:val="15"/>
  </w:num>
  <w:num w:numId="8" w16cid:durableId="1425759930">
    <w:abstractNumId w:val="5"/>
  </w:num>
  <w:num w:numId="9" w16cid:durableId="288440934">
    <w:abstractNumId w:val="4"/>
  </w:num>
  <w:num w:numId="10" w16cid:durableId="685595222">
    <w:abstractNumId w:val="12"/>
  </w:num>
  <w:num w:numId="11" w16cid:durableId="1218905019">
    <w:abstractNumId w:val="16"/>
  </w:num>
  <w:num w:numId="12" w16cid:durableId="1176575289">
    <w:abstractNumId w:val="1"/>
  </w:num>
  <w:num w:numId="13" w16cid:durableId="1304234099">
    <w:abstractNumId w:val="9"/>
  </w:num>
  <w:num w:numId="14" w16cid:durableId="585456061">
    <w:abstractNumId w:val="3"/>
  </w:num>
  <w:num w:numId="15" w16cid:durableId="936014762">
    <w:abstractNumId w:val="14"/>
  </w:num>
  <w:num w:numId="16" w16cid:durableId="670302917">
    <w:abstractNumId w:val="7"/>
  </w:num>
  <w:num w:numId="17" w16cid:durableId="1064530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E"/>
    <w:rsid w:val="00176620"/>
    <w:rsid w:val="00176A9D"/>
    <w:rsid w:val="00234D85"/>
    <w:rsid w:val="003972C5"/>
    <w:rsid w:val="00633EFC"/>
    <w:rsid w:val="00657F59"/>
    <w:rsid w:val="008B0A08"/>
    <w:rsid w:val="00931B38"/>
    <w:rsid w:val="00986AE2"/>
    <w:rsid w:val="00987028"/>
    <w:rsid w:val="00A408CE"/>
    <w:rsid w:val="00A64F77"/>
    <w:rsid w:val="00AA6B62"/>
    <w:rsid w:val="00AE238A"/>
    <w:rsid w:val="00AE5108"/>
    <w:rsid w:val="00B77D01"/>
    <w:rsid w:val="00BF352A"/>
    <w:rsid w:val="00C83390"/>
    <w:rsid w:val="00E36AC1"/>
    <w:rsid w:val="00E9567F"/>
    <w:rsid w:val="00F7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0AABF"/>
  <w15:chartTrackingRefBased/>
  <w15:docId w15:val="{7CD1CE81-5B4E-4DA8-AE93-9B4619A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7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8CE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8CE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8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8CE"/>
  </w:style>
  <w:style w:type="paragraph" w:styleId="Footer">
    <w:name w:val="footer"/>
    <w:basedOn w:val="Normal"/>
    <w:link w:val="FooterChar"/>
    <w:uiPriority w:val="99"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Mourad</dc:creator>
  <cp:keywords/>
  <dc:description/>
  <cp:lastModifiedBy>Nouf Al Rammah</cp:lastModifiedBy>
  <cp:revision>3</cp:revision>
  <dcterms:created xsi:type="dcterms:W3CDTF">2025-06-15T10:46:00Z</dcterms:created>
  <dcterms:modified xsi:type="dcterms:W3CDTF">2025-09-07T09:07:00Z</dcterms:modified>
</cp:coreProperties>
</file>