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04F9" w14:textId="77777777" w:rsidR="004D3396" w:rsidRDefault="004D3396"/>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54565A" w:rsidRPr="00313D70" w14:paraId="017E6037" w14:textId="77777777" w:rsidTr="00C5622E">
        <w:trPr>
          <w:jc w:val="center"/>
        </w:trPr>
        <w:tc>
          <w:tcPr>
            <w:tcW w:w="1980" w:type="dxa"/>
          </w:tcPr>
          <w:p w14:paraId="1D8C2EE6" w14:textId="77777777" w:rsidR="0054565A" w:rsidRPr="00313D70" w:rsidRDefault="0054565A" w:rsidP="00C5622E">
            <w:pPr>
              <w:spacing w:before="120" w:after="120"/>
              <w:rPr>
                <w:rFonts w:cs="Calibri"/>
                <w:b/>
                <w:bCs/>
                <w:sz w:val="24"/>
                <w:szCs w:val="24"/>
              </w:rPr>
            </w:pPr>
            <w:r w:rsidRPr="00313D70">
              <w:rPr>
                <w:rFonts w:cs="Calibri"/>
                <w:b/>
                <w:bCs/>
                <w:sz w:val="24"/>
                <w:szCs w:val="24"/>
              </w:rPr>
              <w:t>Brief</w:t>
            </w:r>
          </w:p>
        </w:tc>
        <w:tc>
          <w:tcPr>
            <w:tcW w:w="8640" w:type="dxa"/>
          </w:tcPr>
          <w:p w14:paraId="25EFF45D" w14:textId="77777777" w:rsidR="0054565A" w:rsidRPr="00313D70" w:rsidRDefault="0054565A" w:rsidP="00C5622E">
            <w:pPr>
              <w:spacing w:before="120" w:after="120"/>
              <w:ind w:left="162" w:right="162"/>
              <w:jc w:val="both"/>
              <w:rPr>
                <w:rFonts w:cs="Calibri"/>
                <w:sz w:val="24"/>
                <w:szCs w:val="24"/>
              </w:rPr>
            </w:pPr>
            <w:r w:rsidRPr="00313D70">
              <w:rPr>
                <w:rFonts w:cs="Calibri"/>
                <w:sz w:val="24"/>
                <w:szCs w:val="24"/>
              </w:rPr>
              <w:t>This policy applies to all Couriers and any other employee responsible for any pick-up. SMSA provides pickup services in all directly served areas. The SMSA Courier will pick up the package according to the ready time &amp; closing time.</w:t>
            </w:r>
          </w:p>
        </w:tc>
      </w:tr>
      <w:tr w:rsidR="0054565A" w:rsidRPr="00313D70" w14:paraId="2FCE56E5" w14:textId="77777777" w:rsidTr="00C5622E">
        <w:trPr>
          <w:jc w:val="center"/>
        </w:trPr>
        <w:tc>
          <w:tcPr>
            <w:tcW w:w="1980" w:type="dxa"/>
          </w:tcPr>
          <w:p w14:paraId="683DDBF2" w14:textId="77777777" w:rsidR="0054565A" w:rsidRPr="00313D70" w:rsidRDefault="0054565A" w:rsidP="00C5622E">
            <w:pPr>
              <w:spacing w:before="120" w:after="120"/>
              <w:rPr>
                <w:rFonts w:cs="Calibri"/>
                <w:b/>
                <w:bCs/>
                <w:sz w:val="24"/>
                <w:szCs w:val="24"/>
              </w:rPr>
            </w:pPr>
            <w:r w:rsidRPr="00313D70">
              <w:rPr>
                <w:rFonts w:cs="Calibri"/>
                <w:b/>
                <w:bCs/>
                <w:sz w:val="24"/>
                <w:szCs w:val="24"/>
              </w:rPr>
              <w:t>Purpose</w:t>
            </w:r>
          </w:p>
        </w:tc>
        <w:tc>
          <w:tcPr>
            <w:tcW w:w="8640" w:type="dxa"/>
          </w:tcPr>
          <w:p w14:paraId="282BB513" w14:textId="77777777" w:rsidR="0054565A" w:rsidRPr="00313D70" w:rsidRDefault="0054565A" w:rsidP="00C5622E">
            <w:pPr>
              <w:spacing w:before="120" w:after="120"/>
              <w:ind w:left="162"/>
              <w:jc w:val="both"/>
              <w:rPr>
                <w:rFonts w:cs="Calibri"/>
                <w:sz w:val="24"/>
                <w:szCs w:val="24"/>
              </w:rPr>
            </w:pPr>
            <w:r w:rsidRPr="00313D70">
              <w:rPr>
                <w:rFonts w:cs="Calibri"/>
                <w:sz w:val="24"/>
                <w:szCs w:val="24"/>
              </w:rPr>
              <w:t xml:space="preserve">To provide guidelines on requirements of package pickup </w:t>
            </w:r>
          </w:p>
        </w:tc>
      </w:tr>
      <w:tr w:rsidR="0054565A" w:rsidRPr="00313D70" w14:paraId="6777503E" w14:textId="77777777" w:rsidTr="00C5622E">
        <w:trPr>
          <w:jc w:val="center"/>
        </w:trPr>
        <w:tc>
          <w:tcPr>
            <w:tcW w:w="1980" w:type="dxa"/>
          </w:tcPr>
          <w:p w14:paraId="19E8637D" w14:textId="77777777" w:rsidR="0054565A" w:rsidRPr="00313D70" w:rsidRDefault="0054565A" w:rsidP="00C5622E">
            <w:pPr>
              <w:spacing w:before="120" w:after="120"/>
              <w:rPr>
                <w:rFonts w:cs="Calibri"/>
                <w:b/>
                <w:bCs/>
                <w:sz w:val="24"/>
                <w:szCs w:val="24"/>
              </w:rPr>
            </w:pPr>
            <w:r w:rsidRPr="00313D70">
              <w:rPr>
                <w:rFonts w:cs="Calibri"/>
                <w:b/>
                <w:bCs/>
                <w:sz w:val="24"/>
                <w:szCs w:val="24"/>
              </w:rPr>
              <w:t>Person Affected</w:t>
            </w:r>
          </w:p>
        </w:tc>
        <w:tc>
          <w:tcPr>
            <w:tcW w:w="8640" w:type="dxa"/>
          </w:tcPr>
          <w:p w14:paraId="033D7327" w14:textId="0F05EBDA" w:rsidR="0054565A" w:rsidRPr="00313D70" w:rsidRDefault="00313D70" w:rsidP="00313D70">
            <w:pPr>
              <w:spacing w:before="120" w:after="120"/>
              <w:ind w:left="162" w:right="162"/>
              <w:jc w:val="both"/>
              <w:rPr>
                <w:rStyle w:val="Strong"/>
                <w:rFonts w:cs="Calibri"/>
                <w:sz w:val="24"/>
                <w:szCs w:val="24"/>
              </w:rPr>
            </w:pPr>
            <w:r w:rsidRPr="00313D70">
              <w:rPr>
                <w:rFonts w:cs="Calibri"/>
                <w:sz w:val="24"/>
                <w:szCs w:val="24"/>
              </w:rPr>
              <w:t>All SMSA Ops, Customer Services &amp; Sales employees involved in the process of package pick-ups.</w:t>
            </w:r>
          </w:p>
        </w:tc>
      </w:tr>
      <w:tr w:rsidR="0054565A" w:rsidRPr="00313D70" w14:paraId="35A36BB3" w14:textId="77777777" w:rsidTr="00C5622E">
        <w:trPr>
          <w:jc w:val="center"/>
        </w:trPr>
        <w:tc>
          <w:tcPr>
            <w:tcW w:w="1980" w:type="dxa"/>
          </w:tcPr>
          <w:p w14:paraId="674E59C0" w14:textId="77777777" w:rsidR="0054565A" w:rsidRPr="00313D70" w:rsidRDefault="0054565A" w:rsidP="00C5622E">
            <w:pPr>
              <w:spacing w:before="120" w:after="120"/>
              <w:rPr>
                <w:rFonts w:cs="Calibri"/>
                <w:b/>
                <w:bCs/>
                <w:sz w:val="24"/>
                <w:szCs w:val="24"/>
              </w:rPr>
            </w:pPr>
            <w:r w:rsidRPr="00313D70">
              <w:rPr>
                <w:rFonts w:cs="Calibri"/>
                <w:b/>
                <w:bCs/>
                <w:sz w:val="24"/>
                <w:szCs w:val="24"/>
              </w:rPr>
              <w:t>Responsibilities</w:t>
            </w:r>
          </w:p>
        </w:tc>
        <w:tc>
          <w:tcPr>
            <w:tcW w:w="8640" w:type="dxa"/>
          </w:tcPr>
          <w:p w14:paraId="23A92485" w14:textId="77777777" w:rsidR="00313D70" w:rsidRPr="00313D70" w:rsidRDefault="00313D70" w:rsidP="00313D70">
            <w:pPr>
              <w:spacing w:before="120" w:after="120"/>
              <w:ind w:left="162" w:right="162"/>
              <w:jc w:val="both"/>
              <w:rPr>
                <w:rFonts w:cs="Calibri"/>
                <w:sz w:val="24"/>
                <w:szCs w:val="24"/>
              </w:rPr>
            </w:pPr>
            <w:r w:rsidRPr="00313D70">
              <w:rPr>
                <w:rFonts w:cs="Calibri"/>
                <w:sz w:val="24"/>
                <w:szCs w:val="24"/>
              </w:rPr>
              <w:t>Dispatcher: Advise Courier of Pick-up</w:t>
            </w:r>
          </w:p>
          <w:p w14:paraId="2AEACA8D" w14:textId="77777777" w:rsidR="00313D70" w:rsidRPr="00313D70" w:rsidRDefault="00313D70" w:rsidP="00313D70">
            <w:pPr>
              <w:spacing w:before="120" w:after="120"/>
              <w:ind w:left="162" w:right="162"/>
              <w:jc w:val="both"/>
              <w:rPr>
                <w:rFonts w:cs="Calibri"/>
                <w:sz w:val="24"/>
                <w:szCs w:val="24"/>
              </w:rPr>
            </w:pPr>
            <w:r w:rsidRPr="00313D70">
              <w:rPr>
                <w:rFonts w:cs="Calibri"/>
                <w:sz w:val="24"/>
                <w:szCs w:val="24"/>
              </w:rPr>
              <w:t>Courier: Complete the pick-up</w:t>
            </w:r>
          </w:p>
          <w:p w14:paraId="0C693A99" w14:textId="77777777" w:rsidR="00313D70" w:rsidRPr="00313D70" w:rsidRDefault="00313D70" w:rsidP="00313D70">
            <w:pPr>
              <w:spacing w:before="120" w:after="120"/>
              <w:ind w:left="162" w:right="162"/>
              <w:jc w:val="both"/>
              <w:rPr>
                <w:rFonts w:cs="Calibri"/>
                <w:sz w:val="24"/>
                <w:szCs w:val="24"/>
              </w:rPr>
            </w:pPr>
            <w:r w:rsidRPr="00313D70">
              <w:rPr>
                <w:rFonts w:cs="Calibri"/>
                <w:sz w:val="24"/>
                <w:szCs w:val="24"/>
              </w:rPr>
              <w:t>Customer: Responsible for completion and signing of AWB and providing relevant documentation</w:t>
            </w:r>
          </w:p>
          <w:p w14:paraId="40667501" w14:textId="3BF9BBFA" w:rsidR="0054565A" w:rsidRPr="00313D70" w:rsidRDefault="00313D70" w:rsidP="00313D70">
            <w:pPr>
              <w:spacing w:before="120" w:after="120"/>
              <w:ind w:left="162" w:right="162"/>
              <w:jc w:val="both"/>
              <w:rPr>
                <w:rFonts w:cs="Calibri"/>
                <w:sz w:val="24"/>
                <w:szCs w:val="24"/>
              </w:rPr>
            </w:pPr>
            <w:r w:rsidRPr="00313D70">
              <w:rPr>
                <w:rFonts w:cs="Calibri"/>
                <w:sz w:val="24"/>
                <w:szCs w:val="24"/>
              </w:rPr>
              <w:t>CS Agent: Book &amp; resolve any problems with pick-ups in coordination with Ops &amp; Sales</w:t>
            </w:r>
          </w:p>
        </w:tc>
      </w:tr>
      <w:tr w:rsidR="0054565A" w:rsidRPr="00313D70" w14:paraId="31E39359" w14:textId="77777777" w:rsidTr="00C5622E">
        <w:trPr>
          <w:jc w:val="center"/>
        </w:trPr>
        <w:tc>
          <w:tcPr>
            <w:tcW w:w="1980" w:type="dxa"/>
          </w:tcPr>
          <w:p w14:paraId="59677EAE" w14:textId="77777777" w:rsidR="0054565A" w:rsidRPr="00313D70" w:rsidRDefault="0054565A" w:rsidP="00C5622E">
            <w:pPr>
              <w:spacing w:before="120" w:after="120"/>
              <w:rPr>
                <w:rFonts w:cs="Calibri"/>
                <w:b/>
                <w:bCs/>
                <w:sz w:val="24"/>
                <w:szCs w:val="24"/>
              </w:rPr>
            </w:pPr>
            <w:r w:rsidRPr="00313D70">
              <w:rPr>
                <w:rFonts w:cs="Calibri"/>
                <w:b/>
                <w:bCs/>
                <w:sz w:val="24"/>
                <w:szCs w:val="24"/>
              </w:rPr>
              <w:t>Guidelines</w:t>
            </w:r>
          </w:p>
        </w:tc>
        <w:tc>
          <w:tcPr>
            <w:tcW w:w="8640" w:type="dxa"/>
          </w:tcPr>
          <w:p w14:paraId="7273AC14" w14:textId="77777777" w:rsidR="0054565A" w:rsidRPr="00313D70" w:rsidRDefault="0054565A" w:rsidP="00C5622E">
            <w:pPr>
              <w:spacing w:before="120" w:after="0"/>
              <w:ind w:left="162"/>
              <w:jc w:val="both"/>
              <w:rPr>
                <w:rStyle w:val="Strong"/>
                <w:rFonts w:cs="Calibri"/>
                <w:sz w:val="24"/>
                <w:szCs w:val="24"/>
              </w:rPr>
            </w:pPr>
            <w:r w:rsidRPr="00313D70">
              <w:rPr>
                <w:rStyle w:val="Strong"/>
                <w:rFonts w:cs="Calibri"/>
                <w:sz w:val="24"/>
                <w:szCs w:val="24"/>
              </w:rPr>
              <w:t>Package Acceptance:</w:t>
            </w:r>
          </w:p>
          <w:p w14:paraId="5A9D776C" w14:textId="77777777" w:rsidR="0054565A" w:rsidRPr="00313D70" w:rsidRDefault="0054565A" w:rsidP="00C5622E">
            <w:pPr>
              <w:spacing w:after="0"/>
              <w:ind w:left="162"/>
              <w:jc w:val="both"/>
              <w:rPr>
                <w:rFonts w:cs="Calibri"/>
                <w:b/>
                <w:bCs/>
                <w:sz w:val="24"/>
                <w:szCs w:val="24"/>
              </w:rPr>
            </w:pPr>
            <w:r w:rsidRPr="00313D70">
              <w:rPr>
                <w:rStyle w:val="Strong"/>
                <w:rFonts w:cs="Calibri"/>
                <w:b w:val="0"/>
                <w:bCs w:val="0"/>
                <w:sz w:val="24"/>
                <w:szCs w:val="24"/>
              </w:rPr>
              <w:t>The courier will accept shipments based on the following criteria:</w:t>
            </w:r>
          </w:p>
          <w:p w14:paraId="65FB4352" w14:textId="77777777" w:rsidR="0054565A" w:rsidRPr="00313D70" w:rsidRDefault="0054565A" w:rsidP="00C5622E">
            <w:pPr>
              <w:numPr>
                <w:ilvl w:val="0"/>
                <w:numId w:val="1"/>
              </w:numPr>
              <w:spacing w:after="0"/>
              <w:jc w:val="both"/>
              <w:rPr>
                <w:rFonts w:cs="Calibri"/>
                <w:sz w:val="24"/>
                <w:szCs w:val="24"/>
              </w:rPr>
            </w:pPr>
            <w:r w:rsidRPr="00313D70">
              <w:rPr>
                <w:rFonts w:cs="Calibri"/>
                <w:sz w:val="24"/>
                <w:szCs w:val="24"/>
              </w:rPr>
              <w:t>Packaging</w:t>
            </w:r>
          </w:p>
          <w:p w14:paraId="73529FDD" w14:textId="77777777" w:rsidR="0054565A" w:rsidRPr="00313D70" w:rsidRDefault="0054565A" w:rsidP="00C5622E">
            <w:pPr>
              <w:numPr>
                <w:ilvl w:val="0"/>
                <w:numId w:val="1"/>
              </w:numPr>
              <w:spacing w:after="0"/>
              <w:jc w:val="both"/>
              <w:rPr>
                <w:rFonts w:cs="Calibri"/>
                <w:sz w:val="24"/>
                <w:szCs w:val="24"/>
              </w:rPr>
            </w:pPr>
            <w:r w:rsidRPr="00313D70">
              <w:rPr>
                <w:rFonts w:cs="Calibri"/>
                <w:sz w:val="24"/>
                <w:szCs w:val="24"/>
              </w:rPr>
              <w:t>Contents</w:t>
            </w:r>
          </w:p>
          <w:p w14:paraId="43CBE3E3" w14:textId="77777777" w:rsidR="0054565A" w:rsidRPr="00313D70" w:rsidRDefault="0054565A" w:rsidP="00C5622E">
            <w:pPr>
              <w:numPr>
                <w:ilvl w:val="0"/>
                <w:numId w:val="1"/>
              </w:numPr>
              <w:spacing w:after="0"/>
              <w:jc w:val="both"/>
              <w:rPr>
                <w:rFonts w:cs="Calibri"/>
                <w:sz w:val="24"/>
                <w:szCs w:val="24"/>
              </w:rPr>
            </w:pPr>
            <w:r w:rsidRPr="00313D70">
              <w:rPr>
                <w:rFonts w:cs="Calibri"/>
                <w:sz w:val="24"/>
                <w:szCs w:val="24"/>
              </w:rPr>
              <w:t>Information on shipping documentation</w:t>
            </w:r>
          </w:p>
          <w:p w14:paraId="7FF24604" w14:textId="77777777" w:rsidR="0054565A" w:rsidRPr="00313D70" w:rsidRDefault="0054565A" w:rsidP="00C5622E">
            <w:pPr>
              <w:numPr>
                <w:ilvl w:val="0"/>
                <w:numId w:val="1"/>
              </w:numPr>
              <w:spacing w:after="0"/>
              <w:jc w:val="both"/>
              <w:rPr>
                <w:rFonts w:cs="Calibri"/>
                <w:sz w:val="24"/>
                <w:szCs w:val="24"/>
              </w:rPr>
            </w:pPr>
            <w:r w:rsidRPr="00313D70">
              <w:rPr>
                <w:rFonts w:cs="Calibri"/>
                <w:sz w:val="24"/>
                <w:szCs w:val="24"/>
              </w:rPr>
              <w:t>Size and weight restrictions</w:t>
            </w:r>
          </w:p>
          <w:p w14:paraId="0C74FD65" w14:textId="77777777" w:rsidR="0054565A" w:rsidRPr="00313D70" w:rsidRDefault="0054565A" w:rsidP="00C5622E">
            <w:pPr>
              <w:numPr>
                <w:ilvl w:val="0"/>
                <w:numId w:val="1"/>
              </w:numPr>
              <w:spacing w:after="0"/>
              <w:jc w:val="both"/>
              <w:rPr>
                <w:rFonts w:cs="Calibri"/>
                <w:sz w:val="24"/>
                <w:szCs w:val="24"/>
              </w:rPr>
            </w:pPr>
            <w:r w:rsidRPr="00313D70">
              <w:rPr>
                <w:rFonts w:cs="Calibri"/>
                <w:sz w:val="24"/>
                <w:szCs w:val="24"/>
              </w:rPr>
              <w:t>Product type</w:t>
            </w:r>
          </w:p>
          <w:p w14:paraId="7F29BB91" w14:textId="77777777" w:rsidR="0054565A" w:rsidRPr="00313D70" w:rsidRDefault="0054565A" w:rsidP="00C5622E">
            <w:pPr>
              <w:numPr>
                <w:ilvl w:val="0"/>
                <w:numId w:val="1"/>
              </w:numPr>
              <w:spacing w:after="0"/>
              <w:jc w:val="both"/>
              <w:rPr>
                <w:rFonts w:cs="Calibri"/>
                <w:sz w:val="24"/>
                <w:szCs w:val="24"/>
              </w:rPr>
            </w:pPr>
            <w:r w:rsidRPr="00313D70">
              <w:rPr>
                <w:rFonts w:cs="Calibri"/>
                <w:sz w:val="24"/>
                <w:szCs w:val="24"/>
              </w:rPr>
              <w:t>Cut-off time</w:t>
            </w:r>
          </w:p>
          <w:p w14:paraId="7F0DAC7F" w14:textId="77777777" w:rsidR="0054565A" w:rsidRPr="00313D70" w:rsidRDefault="0054565A" w:rsidP="00C5622E">
            <w:pPr>
              <w:spacing w:after="0"/>
              <w:ind w:left="720"/>
              <w:jc w:val="both"/>
              <w:rPr>
                <w:rFonts w:cs="Calibri"/>
                <w:sz w:val="24"/>
                <w:szCs w:val="24"/>
              </w:rPr>
            </w:pPr>
          </w:p>
          <w:p w14:paraId="4A9F8A09" w14:textId="77777777" w:rsidR="0054565A" w:rsidRPr="00313D70" w:rsidRDefault="0054565A" w:rsidP="00C5622E">
            <w:pPr>
              <w:spacing w:after="0"/>
              <w:ind w:left="162"/>
              <w:jc w:val="both"/>
              <w:rPr>
                <w:rStyle w:val="Strong"/>
                <w:rFonts w:cs="Calibri"/>
                <w:b w:val="0"/>
                <w:bCs w:val="0"/>
                <w:sz w:val="24"/>
                <w:szCs w:val="24"/>
              </w:rPr>
            </w:pPr>
            <w:bookmarkStart w:id="0" w:name="_Ref519162179"/>
            <w:r w:rsidRPr="00313D70">
              <w:rPr>
                <w:rStyle w:val="Strong"/>
                <w:rFonts w:cs="Calibri"/>
                <w:b w:val="0"/>
                <w:bCs w:val="0"/>
                <w:sz w:val="24"/>
                <w:szCs w:val="24"/>
              </w:rPr>
              <w:t>Available Pickup Options: SMSA provides package pickup, as follows:</w:t>
            </w:r>
            <w:bookmarkEnd w:id="0"/>
          </w:p>
          <w:p w14:paraId="657F4586" w14:textId="77777777" w:rsidR="0054565A" w:rsidRPr="00313D70" w:rsidRDefault="0054565A" w:rsidP="00C5622E">
            <w:pPr>
              <w:spacing w:after="0"/>
              <w:ind w:left="162"/>
              <w:jc w:val="both"/>
              <w:rPr>
                <w:rStyle w:val="Strong"/>
                <w:rFonts w:cs="Calibri"/>
                <w:b w:val="0"/>
                <w:bCs w:val="0"/>
                <w:sz w:val="24"/>
                <w:szCs w:val="24"/>
              </w:rPr>
            </w:pPr>
          </w:p>
          <w:tbl>
            <w:tblPr>
              <w:tblW w:w="0" w:type="auto"/>
              <w:jc w:val="center"/>
              <w:tblCellMar>
                <w:left w:w="0" w:type="dxa"/>
                <w:right w:w="0" w:type="dxa"/>
              </w:tblCellMar>
              <w:tblLook w:val="0000" w:firstRow="0" w:lastRow="0" w:firstColumn="0" w:lastColumn="0" w:noHBand="0" w:noVBand="0"/>
            </w:tblPr>
            <w:tblGrid>
              <w:gridCol w:w="2520"/>
              <w:gridCol w:w="5490"/>
            </w:tblGrid>
            <w:tr w:rsidR="0054565A" w:rsidRPr="00313D70" w14:paraId="143A9AF9" w14:textId="77777777" w:rsidTr="00C5622E">
              <w:trPr>
                <w:trHeight w:val="401"/>
                <w:jc w:val="center"/>
              </w:trPr>
              <w:tc>
                <w:tcPr>
                  <w:tcW w:w="2520" w:type="dxa"/>
                  <w:tcBorders>
                    <w:top w:val="single" w:sz="8" w:space="0" w:color="auto"/>
                    <w:left w:val="single" w:sz="8" w:space="0" w:color="auto"/>
                    <w:bottom w:val="single" w:sz="8" w:space="0" w:color="auto"/>
                    <w:right w:val="single" w:sz="8" w:space="0" w:color="auto"/>
                  </w:tcBorders>
                  <w:shd w:val="clear" w:color="auto" w:fill="374A9C"/>
                  <w:tcMar>
                    <w:top w:w="0" w:type="dxa"/>
                    <w:left w:w="108" w:type="dxa"/>
                    <w:bottom w:w="0" w:type="dxa"/>
                    <w:right w:w="108" w:type="dxa"/>
                  </w:tcMar>
                  <w:vAlign w:val="center"/>
                </w:tcPr>
                <w:p w14:paraId="5E9AFFBE" w14:textId="77777777" w:rsidR="0054565A" w:rsidRPr="00313D70" w:rsidRDefault="0054565A" w:rsidP="00C5622E">
                  <w:pPr>
                    <w:spacing w:after="0"/>
                    <w:jc w:val="center"/>
                    <w:rPr>
                      <w:rFonts w:cs="Calibri"/>
                      <w:b/>
                      <w:bCs/>
                      <w:i/>
                      <w:iCs/>
                      <w:color w:val="FFFFFF" w:themeColor="background1"/>
                      <w:sz w:val="24"/>
                      <w:szCs w:val="24"/>
                    </w:rPr>
                  </w:pPr>
                  <w:r w:rsidRPr="00313D70">
                    <w:rPr>
                      <w:rStyle w:val="Emphasis"/>
                      <w:rFonts w:cs="Calibri"/>
                      <w:b/>
                      <w:bCs/>
                      <w:i w:val="0"/>
                      <w:iCs w:val="0"/>
                      <w:color w:val="FFFFFF" w:themeColor="background1"/>
                      <w:sz w:val="24"/>
                      <w:szCs w:val="24"/>
                    </w:rPr>
                    <w:t>Type Of Pickup</w:t>
                  </w:r>
                </w:p>
              </w:tc>
              <w:tc>
                <w:tcPr>
                  <w:tcW w:w="5490" w:type="dxa"/>
                  <w:tcBorders>
                    <w:top w:val="single" w:sz="8" w:space="0" w:color="auto"/>
                    <w:left w:val="nil"/>
                    <w:bottom w:val="single" w:sz="8" w:space="0" w:color="auto"/>
                    <w:right w:val="single" w:sz="8" w:space="0" w:color="auto"/>
                  </w:tcBorders>
                  <w:shd w:val="clear" w:color="auto" w:fill="374A9C"/>
                  <w:tcMar>
                    <w:top w:w="0" w:type="dxa"/>
                    <w:left w:w="108" w:type="dxa"/>
                    <w:bottom w:w="0" w:type="dxa"/>
                    <w:right w:w="108" w:type="dxa"/>
                  </w:tcMar>
                  <w:vAlign w:val="center"/>
                </w:tcPr>
                <w:p w14:paraId="7B520299" w14:textId="77777777" w:rsidR="0054565A" w:rsidRPr="00313D70" w:rsidRDefault="0054565A" w:rsidP="00C5622E">
                  <w:pPr>
                    <w:spacing w:after="0"/>
                    <w:jc w:val="center"/>
                    <w:rPr>
                      <w:rFonts w:cs="Calibri"/>
                      <w:b/>
                      <w:bCs/>
                      <w:i/>
                      <w:iCs/>
                      <w:color w:val="FFFFFF" w:themeColor="background1"/>
                      <w:sz w:val="24"/>
                      <w:szCs w:val="24"/>
                    </w:rPr>
                  </w:pPr>
                  <w:r w:rsidRPr="00313D70">
                    <w:rPr>
                      <w:rStyle w:val="Emphasis"/>
                      <w:rFonts w:cs="Calibri"/>
                      <w:b/>
                      <w:bCs/>
                      <w:i w:val="0"/>
                      <w:iCs w:val="0"/>
                      <w:color w:val="FFFFFF" w:themeColor="background1"/>
                      <w:sz w:val="24"/>
                      <w:szCs w:val="24"/>
                    </w:rPr>
                    <w:t>Description</w:t>
                  </w:r>
                </w:p>
              </w:tc>
            </w:tr>
            <w:tr w:rsidR="0054565A" w:rsidRPr="00313D70" w14:paraId="1118F7DB" w14:textId="77777777" w:rsidTr="00C5622E">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811CF" w14:textId="77777777" w:rsidR="0054565A" w:rsidRPr="00313D70" w:rsidRDefault="0054565A" w:rsidP="00C5622E">
                  <w:pPr>
                    <w:spacing w:after="0"/>
                    <w:jc w:val="both"/>
                    <w:rPr>
                      <w:rFonts w:cs="Calibri"/>
                      <w:b/>
                      <w:bCs/>
                      <w:sz w:val="24"/>
                      <w:szCs w:val="24"/>
                    </w:rPr>
                  </w:pPr>
                  <w:r w:rsidRPr="00313D70">
                    <w:rPr>
                      <w:rStyle w:val="Strong"/>
                      <w:rFonts w:cs="Calibri"/>
                      <w:sz w:val="24"/>
                      <w:szCs w:val="24"/>
                    </w:rPr>
                    <w:t>Regular</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FF362" w14:textId="77777777" w:rsidR="0054565A" w:rsidRPr="00313D70" w:rsidRDefault="0054565A" w:rsidP="00C5622E">
                  <w:pPr>
                    <w:spacing w:after="0"/>
                    <w:jc w:val="both"/>
                    <w:rPr>
                      <w:rFonts w:cs="Calibri"/>
                      <w:sz w:val="24"/>
                      <w:szCs w:val="24"/>
                    </w:rPr>
                  </w:pPr>
                  <w:r w:rsidRPr="00313D70">
                    <w:rPr>
                      <w:rFonts w:cs="Calibri"/>
                      <w:sz w:val="24"/>
                      <w:szCs w:val="24"/>
                    </w:rPr>
                    <w:t>The sender schedules a pickup regularly on designated days/times and locations through Sales.</w:t>
                  </w:r>
                </w:p>
              </w:tc>
            </w:tr>
            <w:tr w:rsidR="0054565A" w:rsidRPr="00313D70" w14:paraId="5CB7CA5A" w14:textId="77777777" w:rsidTr="00C5622E">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E94CC7" w14:textId="77777777" w:rsidR="0054565A" w:rsidRPr="00313D70" w:rsidRDefault="0054565A" w:rsidP="00C5622E">
                  <w:pPr>
                    <w:spacing w:after="0"/>
                    <w:jc w:val="both"/>
                    <w:rPr>
                      <w:rFonts w:cs="Calibri"/>
                      <w:b/>
                      <w:bCs/>
                      <w:sz w:val="24"/>
                      <w:szCs w:val="24"/>
                    </w:rPr>
                  </w:pPr>
                  <w:r w:rsidRPr="00313D70">
                    <w:rPr>
                      <w:rStyle w:val="Strong"/>
                      <w:rFonts w:cs="Calibri"/>
                      <w:sz w:val="24"/>
                      <w:szCs w:val="24"/>
                    </w:rPr>
                    <w:t>On-Call</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3314F4" w14:textId="77777777" w:rsidR="0054565A" w:rsidRPr="00313D70" w:rsidRDefault="0054565A" w:rsidP="00C5622E">
                  <w:pPr>
                    <w:spacing w:after="0"/>
                    <w:jc w:val="both"/>
                    <w:rPr>
                      <w:rFonts w:cs="Calibri"/>
                      <w:sz w:val="24"/>
                      <w:szCs w:val="24"/>
                    </w:rPr>
                  </w:pPr>
                  <w:r w:rsidRPr="00313D70">
                    <w:rPr>
                      <w:rFonts w:cs="Calibri"/>
                      <w:sz w:val="24"/>
                      <w:szCs w:val="24"/>
                    </w:rPr>
                    <w:t>The sender schedules a pickup on an “as needed” basis with Call Center / Sales.</w:t>
                  </w:r>
                </w:p>
              </w:tc>
            </w:tr>
            <w:tr w:rsidR="0054565A" w:rsidRPr="00313D70" w14:paraId="04594770" w14:textId="77777777" w:rsidTr="00C5622E">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DAC640" w14:textId="77777777" w:rsidR="0054565A" w:rsidRPr="00313D70" w:rsidRDefault="0054565A" w:rsidP="00C5622E">
                  <w:pPr>
                    <w:spacing w:after="0"/>
                    <w:jc w:val="both"/>
                    <w:rPr>
                      <w:rFonts w:cs="Calibri"/>
                      <w:b/>
                      <w:bCs/>
                      <w:sz w:val="24"/>
                      <w:szCs w:val="24"/>
                    </w:rPr>
                  </w:pPr>
                  <w:r w:rsidRPr="00313D70">
                    <w:rPr>
                      <w:rStyle w:val="Strong"/>
                      <w:rFonts w:cs="Calibri"/>
                      <w:sz w:val="24"/>
                      <w:szCs w:val="24"/>
                    </w:rPr>
                    <w:t>Drop-Off</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F439C7" w14:textId="77777777" w:rsidR="0054565A" w:rsidRPr="00313D70" w:rsidRDefault="0054565A" w:rsidP="00C5622E">
                  <w:pPr>
                    <w:spacing w:after="0"/>
                    <w:jc w:val="both"/>
                    <w:rPr>
                      <w:rFonts w:cs="Calibri"/>
                      <w:sz w:val="24"/>
                      <w:szCs w:val="24"/>
                    </w:rPr>
                  </w:pPr>
                  <w:r w:rsidRPr="00313D70">
                    <w:rPr>
                      <w:rFonts w:cs="Calibri"/>
                      <w:sz w:val="24"/>
                      <w:szCs w:val="24"/>
                    </w:rPr>
                    <w:t xml:space="preserve">The sender can drop off the package at the SMSA Location, Retail or Warehouse </w:t>
                  </w:r>
                </w:p>
              </w:tc>
            </w:tr>
          </w:tbl>
          <w:p w14:paraId="70163361" w14:textId="77777777" w:rsidR="0054565A" w:rsidRPr="00313D70" w:rsidRDefault="0054565A" w:rsidP="00C5622E">
            <w:pPr>
              <w:spacing w:after="0"/>
              <w:ind w:left="162"/>
              <w:rPr>
                <w:rStyle w:val="Strong"/>
                <w:rFonts w:cs="Calibri"/>
                <w:sz w:val="24"/>
                <w:szCs w:val="24"/>
              </w:rPr>
            </w:pPr>
          </w:p>
          <w:p w14:paraId="1EBE0A13" w14:textId="77777777" w:rsidR="0054565A" w:rsidRPr="00313D70" w:rsidRDefault="0054565A" w:rsidP="00C5622E">
            <w:pPr>
              <w:spacing w:after="0"/>
              <w:ind w:left="162"/>
              <w:rPr>
                <w:rStyle w:val="Strong"/>
                <w:rFonts w:cs="Calibri"/>
                <w:sz w:val="24"/>
                <w:szCs w:val="24"/>
              </w:rPr>
            </w:pPr>
          </w:p>
          <w:p w14:paraId="7B953BDD" w14:textId="77777777" w:rsidR="0054565A" w:rsidRPr="00313D70" w:rsidRDefault="0054565A" w:rsidP="00C5622E">
            <w:pPr>
              <w:spacing w:after="0"/>
              <w:ind w:left="162"/>
              <w:rPr>
                <w:rStyle w:val="Strong"/>
                <w:rFonts w:cs="Calibri"/>
                <w:sz w:val="24"/>
                <w:szCs w:val="24"/>
              </w:rPr>
            </w:pPr>
          </w:p>
          <w:p w14:paraId="272679A2" w14:textId="77777777" w:rsidR="0054565A" w:rsidRPr="00313D70" w:rsidRDefault="0054565A" w:rsidP="00C5622E">
            <w:pPr>
              <w:spacing w:after="0"/>
              <w:ind w:left="162"/>
              <w:rPr>
                <w:rStyle w:val="Strong"/>
                <w:rFonts w:cs="Calibri"/>
                <w:sz w:val="24"/>
                <w:szCs w:val="24"/>
              </w:rPr>
            </w:pPr>
          </w:p>
          <w:p w14:paraId="26459C23" w14:textId="77777777" w:rsidR="0054565A" w:rsidRPr="00313D70" w:rsidRDefault="0054565A" w:rsidP="00C5622E">
            <w:pPr>
              <w:spacing w:after="0"/>
              <w:ind w:left="162"/>
              <w:rPr>
                <w:rStyle w:val="Strong"/>
                <w:rFonts w:cs="Calibri"/>
                <w:sz w:val="24"/>
                <w:szCs w:val="24"/>
              </w:rPr>
            </w:pPr>
          </w:p>
          <w:p w14:paraId="70EAFD5D" w14:textId="77777777" w:rsidR="0054565A" w:rsidRPr="00313D70" w:rsidRDefault="0054565A" w:rsidP="00C5622E">
            <w:pPr>
              <w:spacing w:after="0"/>
              <w:ind w:left="162"/>
              <w:rPr>
                <w:rStyle w:val="Strong"/>
                <w:rFonts w:cs="Calibri"/>
                <w:sz w:val="24"/>
                <w:szCs w:val="24"/>
              </w:rPr>
            </w:pPr>
          </w:p>
          <w:p w14:paraId="5B747705" w14:textId="77777777" w:rsidR="0054565A" w:rsidRPr="00313D70" w:rsidRDefault="0054565A" w:rsidP="00C5622E">
            <w:pPr>
              <w:spacing w:after="0"/>
              <w:ind w:left="162"/>
              <w:rPr>
                <w:rStyle w:val="Strong"/>
                <w:rFonts w:cs="Calibri"/>
                <w:sz w:val="24"/>
                <w:szCs w:val="24"/>
              </w:rPr>
            </w:pPr>
          </w:p>
          <w:p w14:paraId="0A150882" w14:textId="0206D70B" w:rsidR="0054565A" w:rsidRPr="00313D70" w:rsidRDefault="0054565A" w:rsidP="00C5622E">
            <w:pPr>
              <w:spacing w:after="0"/>
              <w:ind w:left="162"/>
              <w:rPr>
                <w:rFonts w:cs="Calibri"/>
                <w:sz w:val="24"/>
                <w:szCs w:val="24"/>
              </w:rPr>
            </w:pPr>
            <w:r w:rsidRPr="00313D70">
              <w:rPr>
                <w:rStyle w:val="Strong"/>
                <w:rFonts w:cs="Calibri"/>
                <w:sz w:val="24"/>
                <w:szCs w:val="24"/>
              </w:rPr>
              <w:t>Air-waybill (AWB) &amp; Documentation Requirements:</w:t>
            </w:r>
          </w:p>
          <w:p w14:paraId="63F40FBB" w14:textId="0BBCD587" w:rsidR="0054565A" w:rsidRPr="00313D70" w:rsidRDefault="0054565A" w:rsidP="00C5622E">
            <w:pPr>
              <w:spacing w:after="0"/>
              <w:ind w:left="162" w:right="162"/>
              <w:jc w:val="both"/>
              <w:rPr>
                <w:rFonts w:cs="Calibri"/>
                <w:sz w:val="24"/>
                <w:szCs w:val="24"/>
              </w:rPr>
            </w:pPr>
            <w:r w:rsidRPr="00313D70">
              <w:rPr>
                <w:rFonts w:cs="Calibri"/>
                <w:sz w:val="24"/>
                <w:szCs w:val="24"/>
              </w:rPr>
              <w:t xml:space="preserve">The accuracy and correct completion of waybills is extremely important for SMSA. </w:t>
            </w:r>
            <w:r w:rsidRPr="00313D70">
              <w:rPr>
                <w:rFonts w:cs="Calibri"/>
                <w:sz w:val="24"/>
                <w:szCs w:val="24"/>
              </w:rPr>
              <w:lastRenderedPageBreak/>
              <w:t>Mistakes can lead to loss, miss-route and delay of shipments, which affect service to the customer.</w:t>
            </w:r>
          </w:p>
          <w:p w14:paraId="250C7517" w14:textId="77777777" w:rsidR="0054565A" w:rsidRPr="00313D70" w:rsidRDefault="0054565A" w:rsidP="00C5622E">
            <w:pPr>
              <w:spacing w:after="0"/>
              <w:ind w:left="162" w:right="162"/>
              <w:jc w:val="both"/>
              <w:rPr>
                <w:rStyle w:val="Strong"/>
                <w:rFonts w:cs="Calibri"/>
                <w:b w:val="0"/>
                <w:bCs w:val="0"/>
                <w:color w:val="000000"/>
                <w:sz w:val="24"/>
                <w:szCs w:val="24"/>
              </w:rPr>
            </w:pPr>
          </w:p>
          <w:p w14:paraId="69F4CC5E" w14:textId="2B06D66E" w:rsidR="0054565A" w:rsidRPr="00313D70" w:rsidRDefault="0054565A" w:rsidP="00C5622E">
            <w:pPr>
              <w:spacing w:after="0"/>
              <w:ind w:left="162" w:right="162"/>
              <w:jc w:val="both"/>
              <w:rPr>
                <w:rFonts w:cs="Calibri"/>
                <w:b/>
                <w:bCs/>
                <w:sz w:val="24"/>
                <w:szCs w:val="24"/>
              </w:rPr>
            </w:pPr>
            <w:r w:rsidRPr="00313D70">
              <w:rPr>
                <w:rStyle w:val="Strong"/>
                <w:rFonts w:cs="Calibri"/>
                <w:b w:val="0"/>
                <w:bCs w:val="0"/>
                <w:color w:val="000000"/>
                <w:sz w:val="24"/>
                <w:szCs w:val="24"/>
              </w:rPr>
              <w:t xml:space="preserve">Any staff receiving shipments from customers, whether from a pick-up or dropped </w:t>
            </w:r>
            <w:r w:rsidR="00313D70" w:rsidRPr="00313D70">
              <w:rPr>
                <w:rStyle w:val="Strong"/>
                <w:rFonts w:cs="Calibri"/>
                <w:b w:val="0"/>
                <w:bCs w:val="0"/>
                <w:color w:val="000000"/>
                <w:sz w:val="24"/>
                <w:szCs w:val="24"/>
              </w:rPr>
              <w:t>off, must</w:t>
            </w:r>
            <w:r w:rsidRPr="00313D70">
              <w:rPr>
                <w:rStyle w:val="Strong"/>
                <w:rFonts w:cs="Calibri"/>
                <w:b w:val="0"/>
                <w:bCs w:val="0"/>
                <w:color w:val="000000"/>
                <w:sz w:val="24"/>
                <w:szCs w:val="24"/>
              </w:rPr>
              <w:t xml:space="preserve"> ensure the following: </w:t>
            </w:r>
          </w:p>
          <w:p w14:paraId="6F512A42" w14:textId="77777777" w:rsidR="0054565A" w:rsidRPr="00313D70" w:rsidRDefault="0054565A" w:rsidP="00C5622E">
            <w:pPr>
              <w:numPr>
                <w:ilvl w:val="0"/>
                <w:numId w:val="2"/>
              </w:numPr>
              <w:spacing w:after="0"/>
              <w:ind w:right="162"/>
              <w:jc w:val="both"/>
              <w:rPr>
                <w:rFonts w:cs="Calibri"/>
                <w:b/>
                <w:bCs/>
                <w:sz w:val="24"/>
                <w:szCs w:val="24"/>
              </w:rPr>
            </w:pPr>
            <w:r w:rsidRPr="00313D70">
              <w:rPr>
                <w:rFonts w:cs="Calibri"/>
                <w:sz w:val="24"/>
                <w:szCs w:val="24"/>
              </w:rPr>
              <w:t xml:space="preserve">Ensure the Air-waybill is completed and signed by the Sender. (AWB) according to </w:t>
            </w:r>
            <w:r w:rsidRPr="00313D70">
              <w:rPr>
                <w:rFonts w:cs="Calibri"/>
                <w:b/>
                <w:bCs/>
                <w:sz w:val="24"/>
                <w:szCs w:val="24"/>
              </w:rPr>
              <w:t xml:space="preserve">the </w:t>
            </w:r>
            <w:r w:rsidRPr="00313D70">
              <w:rPr>
                <w:rStyle w:val="Strong"/>
                <w:rFonts w:cs="Calibri"/>
                <w:b w:val="0"/>
                <w:bCs w:val="0"/>
                <w:sz w:val="24"/>
                <w:szCs w:val="24"/>
              </w:rPr>
              <w:t>Air-waybill (AWB) Completion Policy</w:t>
            </w:r>
            <w:r w:rsidRPr="00313D70">
              <w:rPr>
                <w:rFonts w:cs="Calibri"/>
                <w:b/>
                <w:bCs/>
                <w:color w:val="000000"/>
                <w:sz w:val="24"/>
                <w:szCs w:val="24"/>
              </w:rPr>
              <w:t>.</w:t>
            </w:r>
          </w:p>
          <w:p w14:paraId="17CF0656" w14:textId="77777777" w:rsidR="0054565A" w:rsidRPr="00313D70" w:rsidRDefault="0054565A" w:rsidP="00C5622E">
            <w:pPr>
              <w:numPr>
                <w:ilvl w:val="0"/>
                <w:numId w:val="2"/>
              </w:numPr>
              <w:spacing w:after="0"/>
              <w:ind w:right="162"/>
              <w:jc w:val="both"/>
              <w:rPr>
                <w:rFonts w:cs="Calibri"/>
                <w:sz w:val="24"/>
                <w:szCs w:val="24"/>
              </w:rPr>
            </w:pPr>
            <w:r w:rsidRPr="00313D70">
              <w:rPr>
                <w:rFonts w:cs="Calibri"/>
                <w:color w:val="000000"/>
                <w:sz w:val="24"/>
                <w:szCs w:val="24"/>
              </w:rPr>
              <w:t>Be sure all required documentation accompanies the shipments (i.e. Invoices etc.)</w:t>
            </w:r>
          </w:p>
          <w:p w14:paraId="7C32DB7E" w14:textId="77777777" w:rsidR="0054565A" w:rsidRPr="00313D70" w:rsidRDefault="0054565A" w:rsidP="00C5622E">
            <w:pPr>
              <w:numPr>
                <w:ilvl w:val="0"/>
                <w:numId w:val="2"/>
              </w:numPr>
              <w:spacing w:after="0"/>
              <w:ind w:right="162"/>
              <w:jc w:val="both"/>
              <w:rPr>
                <w:rFonts w:cs="Calibri"/>
                <w:sz w:val="24"/>
                <w:szCs w:val="24"/>
              </w:rPr>
            </w:pPr>
            <w:r w:rsidRPr="00313D70">
              <w:rPr>
                <w:rFonts w:cs="Calibri"/>
                <w:sz w:val="24"/>
                <w:szCs w:val="24"/>
              </w:rPr>
              <w:t xml:space="preserve">The Courier must contact the Supervisor /Dispatcher to seek advice for any complication in contents or air waybill while picking up a shipment (before leaving the customer’s location). </w:t>
            </w:r>
          </w:p>
          <w:p w14:paraId="461B7133" w14:textId="77777777" w:rsidR="0054565A" w:rsidRPr="00313D70" w:rsidRDefault="0054565A" w:rsidP="00C5622E">
            <w:pPr>
              <w:numPr>
                <w:ilvl w:val="0"/>
                <w:numId w:val="2"/>
              </w:numPr>
              <w:spacing w:after="0"/>
              <w:ind w:right="162"/>
              <w:jc w:val="both"/>
              <w:rPr>
                <w:rFonts w:cs="Calibri"/>
                <w:sz w:val="24"/>
                <w:szCs w:val="24"/>
              </w:rPr>
            </w:pPr>
            <w:r w:rsidRPr="00313D70">
              <w:rPr>
                <w:rFonts w:cs="Calibri"/>
                <w:sz w:val="24"/>
                <w:szCs w:val="24"/>
              </w:rPr>
              <w:t>Ensure correct copies of the AWB go to the customer and other copies are attached to the shipment and handed over to operations.</w:t>
            </w:r>
          </w:p>
          <w:p w14:paraId="25D29842" w14:textId="77777777" w:rsidR="0054565A" w:rsidRPr="00313D70" w:rsidRDefault="0054565A" w:rsidP="00C5622E">
            <w:pPr>
              <w:spacing w:after="0"/>
              <w:ind w:left="720" w:right="162"/>
              <w:jc w:val="both"/>
              <w:rPr>
                <w:rFonts w:cs="Calibri"/>
                <w:sz w:val="24"/>
                <w:szCs w:val="24"/>
              </w:rPr>
            </w:pPr>
          </w:p>
          <w:p w14:paraId="1B27D094" w14:textId="77777777" w:rsidR="0054565A" w:rsidRPr="00313D70" w:rsidRDefault="0054565A" w:rsidP="00C5622E">
            <w:pPr>
              <w:spacing w:after="0"/>
              <w:ind w:left="720" w:right="162"/>
              <w:jc w:val="both"/>
              <w:rPr>
                <w:rFonts w:cs="Calibri"/>
                <w:sz w:val="24"/>
                <w:szCs w:val="24"/>
              </w:rPr>
            </w:pPr>
            <w:r w:rsidRPr="00313D70">
              <w:rPr>
                <w:rFonts w:cs="Calibri"/>
                <w:sz w:val="24"/>
                <w:szCs w:val="24"/>
              </w:rPr>
              <w:t> </w:t>
            </w:r>
          </w:p>
          <w:p w14:paraId="617984DF" w14:textId="77777777" w:rsidR="0054565A" w:rsidRPr="00313D70" w:rsidRDefault="0054565A" w:rsidP="00C5622E">
            <w:pPr>
              <w:spacing w:after="0"/>
              <w:ind w:left="162"/>
              <w:jc w:val="both"/>
              <w:rPr>
                <w:rFonts w:cs="Calibri"/>
                <w:sz w:val="24"/>
                <w:szCs w:val="24"/>
              </w:rPr>
            </w:pPr>
            <w:r w:rsidRPr="00313D70">
              <w:rPr>
                <w:rStyle w:val="Strong"/>
                <w:rFonts w:cs="Calibri"/>
                <w:sz w:val="24"/>
                <w:szCs w:val="24"/>
              </w:rPr>
              <w:t xml:space="preserve">Pick-up Exception: </w:t>
            </w:r>
          </w:p>
          <w:p w14:paraId="0DEB4751" w14:textId="77777777" w:rsidR="0054565A" w:rsidRPr="00313D70" w:rsidRDefault="0054565A" w:rsidP="00C5622E">
            <w:pPr>
              <w:spacing w:after="0"/>
              <w:ind w:left="162" w:right="162"/>
              <w:jc w:val="both"/>
              <w:rPr>
                <w:rFonts w:cs="Calibri"/>
                <w:sz w:val="24"/>
                <w:szCs w:val="24"/>
              </w:rPr>
            </w:pPr>
            <w:r w:rsidRPr="00313D70">
              <w:rPr>
                <w:rFonts w:cs="Calibri"/>
                <w:sz w:val="24"/>
                <w:szCs w:val="24"/>
              </w:rPr>
              <w:t>If a courier is unable to pick up a shipment for any reason (accident etc.) he must immediately inform the Dispatcher who will attempt to make alternate arrangements.</w:t>
            </w:r>
          </w:p>
          <w:p w14:paraId="161B9BE9" w14:textId="77777777" w:rsidR="0054565A" w:rsidRPr="00313D70" w:rsidRDefault="0054565A" w:rsidP="00C5622E">
            <w:pPr>
              <w:numPr>
                <w:ilvl w:val="0"/>
                <w:numId w:val="3"/>
              </w:numPr>
              <w:spacing w:after="0"/>
              <w:ind w:right="162"/>
              <w:jc w:val="both"/>
              <w:rPr>
                <w:rFonts w:cs="Calibri"/>
                <w:sz w:val="24"/>
                <w:szCs w:val="24"/>
              </w:rPr>
            </w:pPr>
            <w:r w:rsidRPr="00313D70">
              <w:rPr>
                <w:rFonts w:cs="Calibri"/>
                <w:sz w:val="24"/>
                <w:szCs w:val="24"/>
              </w:rPr>
              <w:t xml:space="preserve">When a pickup exception is discovered the designated employee in the station has to inform the CS department / Sales. </w:t>
            </w:r>
          </w:p>
          <w:p w14:paraId="3C38F6F0" w14:textId="77777777" w:rsidR="0054565A" w:rsidRPr="00313D70" w:rsidRDefault="0054565A" w:rsidP="00C5622E">
            <w:pPr>
              <w:numPr>
                <w:ilvl w:val="0"/>
                <w:numId w:val="3"/>
              </w:numPr>
              <w:spacing w:after="0"/>
              <w:ind w:right="162"/>
              <w:jc w:val="both"/>
              <w:rPr>
                <w:rFonts w:cs="Calibri"/>
                <w:sz w:val="24"/>
                <w:szCs w:val="24"/>
              </w:rPr>
            </w:pPr>
            <w:r w:rsidRPr="00313D70">
              <w:rPr>
                <w:rFonts w:cs="Calibri"/>
                <w:sz w:val="24"/>
                <w:szCs w:val="24"/>
              </w:rPr>
              <w:t>The designated Customer Services Agent / Sales will contact the sender (customer) as soon as possible (not later than the next morning) and explain to him the reason why the courier could not pick up the shipment.  </w:t>
            </w:r>
          </w:p>
          <w:p w14:paraId="70661EFD" w14:textId="77777777" w:rsidR="0054565A" w:rsidRPr="00313D70" w:rsidRDefault="0054565A" w:rsidP="00C5622E">
            <w:pPr>
              <w:numPr>
                <w:ilvl w:val="0"/>
                <w:numId w:val="3"/>
              </w:numPr>
              <w:spacing w:after="0"/>
              <w:ind w:right="162"/>
              <w:jc w:val="both"/>
              <w:rPr>
                <w:rFonts w:cs="Calibri"/>
                <w:sz w:val="24"/>
                <w:szCs w:val="24"/>
              </w:rPr>
            </w:pPr>
            <w:r w:rsidRPr="00313D70">
              <w:rPr>
                <w:rFonts w:cs="Calibri"/>
                <w:sz w:val="24"/>
                <w:szCs w:val="24"/>
              </w:rPr>
              <w:t xml:space="preserve">Arrange with the customer for a convenient time to pick up the shipment. </w:t>
            </w:r>
          </w:p>
          <w:p w14:paraId="18BFCCE5" w14:textId="77777777" w:rsidR="0054565A" w:rsidRPr="00313D70" w:rsidRDefault="0054565A" w:rsidP="00C5622E">
            <w:pPr>
              <w:numPr>
                <w:ilvl w:val="0"/>
                <w:numId w:val="3"/>
              </w:numPr>
              <w:spacing w:after="0"/>
              <w:ind w:right="162"/>
              <w:jc w:val="both"/>
              <w:rPr>
                <w:rFonts w:cs="Calibri"/>
                <w:sz w:val="24"/>
                <w:szCs w:val="24"/>
              </w:rPr>
            </w:pPr>
            <w:r w:rsidRPr="00313D70">
              <w:rPr>
                <w:rFonts w:cs="Calibri"/>
                <w:sz w:val="24"/>
                <w:szCs w:val="24"/>
              </w:rPr>
              <w:t xml:space="preserve">Schedule another pickup with the Dispatcher who will advise the courier to reattempt the pickup on a priority basis. </w:t>
            </w:r>
          </w:p>
          <w:p w14:paraId="11241FC5" w14:textId="77777777" w:rsidR="0054565A" w:rsidRPr="00313D70" w:rsidRDefault="0054565A" w:rsidP="00C5622E">
            <w:pPr>
              <w:spacing w:after="0"/>
              <w:ind w:left="720" w:right="162"/>
              <w:jc w:val="both"/>
              <w:rPr>
                <w:rFonts w:cs="Calibri"/>
                <w:sz w:val="24"/>
                <w:szCs w:val="24"/>
              </w:rPr>
            </w:pPr>
          </w:p>
        </w:tc>
      </w:tr>
      <w:tr w:rsidR="0054565A" w:rsidRPr="00313D70" w14:paraId="4B4DAEE1" w14:textId="77777777" w:rsidTr="00C5622E">
        <w:trPr>
          <w:jc w:val="center"/>
        </w:trPr>
        <w:tc>
          <w:tcPr>
            <w:tcW w:w="1980" w:type="dxa"/>
          </w:tcPr>
          <w:p w14:paraId="02987B74" w14:textId="77777777" w:rsidR="0054565A" w:rsidRPr="00313D70" w:rsidRDefault="0054565A" w:rsidP="00C5622E">
            <w:pPr>
              <w:spacing w:before="120" w:after="120"/>
              <w:rPr>
                <w:rFonts w:cs="Calibri"/>
                <w:b/>
                <w:bCs/>
                <w:sz w:val="24"/>
                <w:szCs w:val="24"/>
              </w:rPr>
            </w:pPr>
            <w:r w:rsidRPr="00313D70">
              <w:rPr>
                <w:rFonts w:cs="Calibri"/>
                <w:b/>
                <w:bCs/>
                <w:sz w:val="24"/>
                <w:szCs w:val="24"/>
              </w:rPr>
              <w:lastRenderedPageBreak/>
              <w:t>General</w:t>
            </w:r>
          </w:p>
        </w:tc>
        <w:tc>
          <w:tcPr>
            <w:tcW w:w="8640" w:type="dxa"/>
          </w:tcPr>
          <w:p w14:paraId="2EC4B482" w14:textId="77777777" w:rsidR="0054565A" w:rsidRPr="00313D70" w:rsidRDefault="0054565A" w:rsidP="00C5622E">
            <w:pPr>
              <w:spacing w:before="120" w:after="120"/>
              <w:jc w:val="both"/>
              <w:rPr>
                <w:rFonts w:cs="Calibri"/>
                <w:sz w:val="24"/>
                <w:szCs w:val="24"/>
              </w:rPr>
            </w:pPr>
            <w:r w:rsidRPr="00313D70">
              <w:rPr>
                <w:rFonts w:cs="Calibri"/>
                <w:sz w:val="24"/>
                <w:szCs w:val="24"/>
              </w:rPr>
              <w:t>Any exception to this policy must be approved by the Managing Director.</w:t>
            </w:r>
          </w:p>
        </w:tc>
      </w:tr>
    </w:tbl>
    <w:p w14:paraId="04B7E300" w14:textId="77777777" w:rsidR="0054565A" w:rsidRPr="00313D70" w:rsidRDefault="0054565A">
      <w:pPr>
        <w:rPr>
          <w:rFonts w:cs="Calibri"/>
          <w:sz w:val="24"/>
          <w:szCs w:val="24"/>
        </w:rPr>
      </w:pPr>
    </w:p>
    <w:sectPr w:rsidR="0054565A" w:rsidRPr="00313D7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846D1" w14:textId="77777777" w:rsidR="004C24D3" w:rsidRDefault="004C24D3" w:rsidP="007A4E70">
      <w:pPr>
        <w:spacing w:after="0"/>
      </w:pPr>
      <w:r>
        <w:separator/>
      </w:r>
    </w:p>
  </w:endnote>
  <w:endnote w:type="continuationSeparator" w:id="0">
    <w:p w14:paraId="2EA3BC91" w14:textId="77777777" w:rsidR="004C24D3" w:rsidRDefault="004C24D3" w:rsidP="007A4E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A8E8" w14:textId="2F609128" w:rsidR="007A4E70" w:rsidRPr="007A4E70" w:rsidRDefault="007A4E70" w:rsidP="00E16CA7">
    <w:pPr>
      <w:pStyle w:val="Footer"/>
      <w:rPr>
        <w:rFonts w:asciiTheme="minorHAnsi" w:hAnsiTheme="minorHAnsi" w:cstheme="minorHAnsi"/>
        <w:sz w:val="20"/>
        <w:szCs w:val="20"/>
      </w:rPr>
    </w:pPr>
    <w:bookmarkStart w:id="1" w:name="_Hlk153133482"/>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DE3F54">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DE3F54">
      <w:rPr>
        <w:rFonts w:asciiTheme="minorHAnsi" w:hAnsiTheme="minorHAnsi" w:cstheme="minorHAnsi"/>
        <w:noProof/>
        <w:sz w:val="20"/>
        <w:szCs w:val="20"/>
      </w:rPr>
      <w:t>2</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A799" w14:textId="77777777" w:rsidR="004C24D3" w:rsidRDefault="004C24D3" w:rsidP="007A4E70">
      <w:pPr>
        <w:spacing w:after="0"/>
      </w:pPr>
      <w:r>
        <w:separator/>
      </w:r>
    </w:p>
  </w:footnote>
  <w:footnote w:type="continuationSeparator" w:id="0">
    <w:p w14:paraId="07AD7EC1" w14:textId="77777777" w:rsidR="004C24D3" w:rsidRDefault="004C24D3" w:rsidP="007A4E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jc w:val="center"/>
      <w:tblLook w:val="04A0" w:firstRow="1" w:lastRow="0" w:firstColumn="1" w:lastColumn="0" w:noHBand="0" w:noVBand="1"/>
    </w:tblPr>
    <w:tblGrid>
      <w:gridCol w:w="4230"/>
      <w:gridCol w:w="6390"/>
    </w:tblGrid>
    <w:tr w:rsidR="00E2735C" w:rsidRPr="0048032C" w14:paraId="29C478EC" w14:textId="77777777" w:rsidTr="00B7302B">
      <w:trPr>
        <w:jc w:val="center"/>
      </w:trPr>
      <w:tc>
        <w:tcPr>
          <w:tcW w:w="4230" w:type="dxa"/>
        </w:tcPr>
        <w:p w14:paraId="5F077CB9" w14:textId="19A4A867" w:rsidR="00E2735C" w:rsidRPr="0048032C" w:rsidRDefault="00E16CA7" w:rsidP="00B7302B">
          <w:pPr>
            <w:pStyle w:val="Header"/>
            <w:rPr>
              <w:rFonts w:ascii="Arial Narrow" w:hAnsi="Arial Narrow"/>
              <w:b/>
              <w:noProof/>
              <w:sz w:val="22"/>
              <w:szCs w:val="22"/>
            </w:rPr>
          </w:pPr>
          <w:r>
            <w:rPr>
              <w:noProof/>
              <w14:ligatures w14:val="standardContextual"/>
            </w:rPr>
            <w:drawing>
              <wp:anchor distT="0" distB="0" distL="114300" distR="114300" simplePos="0" relativeHeight="251658240" behindDoc="0" locked="0" layoutInCell="1" allowOverlap="1" wp14:anchorId="715FAE01" wp14:editId="416DC1B1">
                <wp:simplePos x="0" y="0"/>
                <wp:positionH relativeFrom="column">
                  <wp:posOffset>-332105</wp:posOffset>
                </wp:positionH>
                <wp:positionV relativeFrom="paragraph">
                  <wp:posOffset>15240</wp:posOffset>
                </wp:positionV>
                <wp:extent cx="1216152" cy="299519"/>
                <wp:effectExtent l="0" t="0" r="3175" b="5715"/>
                <wp:wrapSquare wrapText="bothSides"/>
                <wp:docPr id="2" name="Picture 2">
                  <a:extLst xmlns:a="http://schemas.openxmlformats.org/drawingml/2006/main">
                    <a:ext uri="{FF2B5EF4-FFF2-40B4-BE49-F238E27FC236}">
                      <a16:creationId xmlns:a16="http://schemas.microsoft.com/office/drawing/2014/main" id="{9222549D-0AA9-D1EA-68BC-B244E06386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FF2B5EF4-FFF2-40B4-BE49-F238E27FC236}">
                              <a16:creationId xmlns:a16="http://schemas.microsoft.com/office/drawing/2014/main" id="{9222549D-0AA9-D1EA-68BC-B244E06386D5}"/>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152" cy="299519"/>
                        </a:xfrm>
                        <a:prstGeom prst="rect">
                          <a:avLst/>
                        </a:prstGeom>
                        <a:noFill/>
                        <a:ln>
                          <a:noFill/>
                        </a:ln>
                      </pic:spPr>
                    </pic:pic>
                  </a:graphicData>
                </a:graphic>
              </wp:anchor>
            </w:drawing>
          </w:r>
        </w:p>
      </w:tc>
      <w:tc>
        <w:tcPr>
          <w:tcW w:w="6390" w:type="dxa"/>
        </w:tcPr>
        <w:p w14:paraId="3D48B959" w14:textId="7139582E" w:rsidR="00E2735C" w:rsidRPr="007D3109" w:rsidRDefault="00E2735C" w:rsidP="00B7302B">
          <w:pPr>
            <w:pStyle w:val="Header"/>
            <w:jc w:val="right"/>
            <w:rPr>
              <w:rFonts w:asciiTheme="minorHAnsi" w:hAnsiTheme="minorHAnsi" w:cstheme="minorHAnsi"/>
              <w:b/>
              <w:noProof/>
              <w:sz w:val="32"/>
              <w:szCs w:val="32"/>
            </w:rPr>
          </w:pPr>
          <w:r w:rsidRPr="007D3109">
            <w:rPr>
              <w:rFonts w:asciiTheme="minorHAnsi" w:hAnsiTheme="minorHAnsi" w:cstheme="minorHAnsi"/>
              <w:b/>
              <w:noProof/>
              <w:sz w:val="32"/>
              <w:szCs w:val="32"/>
            </w:rPr>
            <w:t>Package Pickup Policy</w:t>
          </w:r>
        </w:p>
        <w:p w14:paraId="29FB53A4" w14:textId="77777777" w:rsidR="00E2735C" w:rsidRPr="0048032C" w:rsidRDefault="00E2735C" w:rsidP="00B7302B">
          <w:pPr>
            <w:pStyle w:val="Header"/>
            <w:jc w:val="right"/>
            <w:rPr>
              <w:rFonts w:ascii="Arial Narrow" w:hAnsi="Arial Narrow"/>
              <w:noProof/>
              <w:sz w:val="22"/>
              <w:szCs w:val="22"/>
            </w:rPr>
          </w:pPr>
          <w:r w:rsidRPr="00240C3E">
            <w:rPr>
              <w:rFonts w:asciiTheme="minorHAnsi" w:hAnsiTheme="minorHAnsi" w:cstheme="minorHAnsi"/>
              <w:noProof/>
            </w:rPr>
            <w:t>Owner/ Department:</w:t>
          </w:r>
          <w:r>
            <w:rPr>
              <w:rFonts w:asciiTheme="minorHAnsi" w:hAnsiTheme="minorHAnsi" w:cstheme="minorHAnsi"/>
              <w:noProof/>
            </w:rPr>
            <w:t xml:space="preserve"> IBU-KWT,</w:t>
          </w:r>
          <w:r w:rsidRPr="00240C3E">
            <w:rPr>
              <w:rFonts w:asciiTheme="minorHAnsi" w:hAnsiTheme="minorHAnsi" w:cstheme="minorHAnsi"/>
              <w:noProof/>
            </w:rPr>
            <w:t xml:space="preserve">  Operations</w:t>
          </w:r>
        </w:p>
      </w:tc>
    </w:tr>
  </w:tbl>
  <w:p w14:paraId="017C37AF" w14:textId="636E4D9F" w:rsidR="00E2735C" w:rsidRDefault="00E27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02E29"/>
    <w:multiLevelType w:val="hybridMultilevel"/>
    <w:tmpl w:val="2CA2A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332D5"/>
    <w:multiLevelType w:val="hybridMultilevel"/>
    <w:tmpl w:val="A6522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D40103"/>
    <w:multiLevelType w:val="hybridMultilevel"/>
    <w:tmpl w:val="D85E4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9022668">
    <w:abstractNumId w:val="0"/>
  </w:num>
  <w:num w:numId="2" w16cid:durableId="1139617129">
    <w:abstractNumId w:val="1"/>
  </w:num>
  <w:num w:numId="3" w16cid:durableId="1258758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65A"/>
    <w:rsid w:val="00313D70"/>
    <w:rsid w:val="00345A65"/>
    <w:rsid w:val="004C24D3"/>
    <w:rsid w:val="004D3396"/>
    <w:rsid w:val="005158DA"/>
    <w:rsid w:val="0054565A"/>
    <w:rsid w:val="005814D0"/>
    <w:rsid w:val="007A4E70"/>
    <w:rsid w:val="00AB23B9"/>
    <w:rsid w:val="00AB5A24"/>
    <w:rsid w:val="00C51351"/>
    <w:rsid w:val="00DE3F54"/>
    <w:rsid w:val="00E16CA7"/>
    <w:rsid w:val="00E2735C"/>
    <w:rsid w:val="00E958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E770E"/>
  <w15:docId w15:val="{8684738A-FC23-492D-8ECE-6D45E3FE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65A"/>
    <w:pPr>
      <w:spacing w:after="200" w:line="240"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54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65A"/>
    <w:rPr>
      <w:rFonts w:eastAsiaTheme="majorEastAsia" w:cstheme="majorBidi"/>
      <w:color w:val="272727" w:themeColor="text1" w:themeTint="D8"/>
    </w:rPr>
  </w:style>
  <w:style w:type="paragraph" w:styleId="Title">
    <w:name w:val="Title"/>
    <w:basedOn w:val="Normal"/>
    <w:next w:val="Normal"/>
    <w:link w:val="TitleChar"/>
    <w:uiPriority w:val="10"/>
    <w:qFormat/>
    <w:rsid w:val="005456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65A"/>
    <w:pPr>
      <w:spacing w:before="160"/>
      <w:jc w:val="center"/>
    </w:pPr>
    <w:rPr>
      <w:i/>
      <w:iCs/>
      <w:color w:val="404040" w:themeColor="text1" w:themeTint="BF"/>
    </w:rPr>
  </w:style>
  <w:style w:type="character" w:customStyle="1" w:styleId="QuoteChar">
    <w:name w:val="Quote Char"/>
    <w:basedOn w:val="DefaultParagraphFont"/>
    <w:link w:val="Quote"/>
    <w:uiPriority w:val="29"/>
    <w:rsid w:val="0054565A"/>
    <w:rPr>
      <w:i/>
      <w:iCs/>
      <w:color w:val="404040" w:themeColor="text1" w:themeTint="BF"/>
    </w:rPr>
  </w:style>
  <w:style w:type="paragraph" w:styleId="ListParagraph">
    <w:name w:val="List Paragraph"/>
    <w:basedOn w:val="Normal"/>
    <w:uiPriority w:val="34"/>
    <w:qFormat/>
    <w:rsid w:val="0054565A"/>
    <w:pPr>
      <w:ind w:left="720"/>
      <w:contextualSpacing/>
    </w:pPr>
  </w:style>
  <w:style w:type="character" w:styleId="IntenseEmphasis">
    <w:name w:val="Intense Emphasis"/>
    <w:basedOn w:val="DefaultParagraphFont"/>
    <w:uiPriority w:val="21"/>
    <w:qFormat/>
    <w:rsid w:val="0054565A"/>
    <w:rPr>
      <w:i/>
      <w:iCs/>
      <w:color w:val="0F4761" w:themeColor="accent1" w:themeShade="BF"/>
    </w:rPr>
  </w:style>
  <w:style w:type="paragraph" w:styleId="IntenseQuote">
    <w:name w:val="Intense Quote"/>
    <w:basedOn w:val="Normal"/>
    <w:next w:val="Normal"/>
    <w:link w:val="IntenseQuoteChar"/>
    <w:uiPriority w:val="30"/>
    <w:qFormat/>
    <w:rsid w:val="0054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65A"/>
    <w:rPr>
      <w:i/>
      <w:iCs/>
      <w:color w:val="0F4761" w:themeColor="accent1" w:themeShade="BF"/>
    </w:rPr>
  </w:style>
  <w:style w:type="character" w:styleId="IntenseReference">
    <w:name w:val="Intense Reference"/>
    <w:basedOn w:val="DefaultParagraphFont"/>
    <w:uiPriority w:val="32"/>
    <w:qFormat/>
    <w:rsid w:val="0054565A"/>
    <w:rPr>
      <w:b/>
      <w:bCs/>
      <w:smallCaps/>
      <w:color w:val="0F4761" w:themeColor="accent1" w:themeShade="BF"/>
      <w:spacing w:val="5"/>
    </w:rPr>
  </w:style>
  <w:style w:type="paragraph" w:styleId="Header">
    <w:name w:val="header"/>
    <w:basedOn w:val="Normal"/>
    <w:link w:val="HeaderChar"/>
    <w:rsid w:val="0054565A"/>
    <w:pPr>
      <w:tabs>
        <w:tab w:val="center" w:pos="4320"/>
        <w:tab w:val="right" w:pos="8640"/>
      </w:tabs>
      <w:spacing w:after="0"/>
    </w:pPr>
    <w:rPr>
      <w:rFonts w:ascii="Times New Roman" w:eastAsia="Times New Roman" w:hAnsi="Times New Roman"/>
      <w:sz w:val="24"/>
      <w:szCs w:val="24"/>
    </w:rPr>
  </w:style>
  <w:style w:type="character" w:customStyle="1" w:styleId="HeaderChar">
    <w:name w:val="Header Char"/>
    <w:basedOn w:val="DefaultParagraphFont"/>
    <w:link w:val="Header"/>
    <w:rsid w:val="0054565A"/>
    <w:rPr>
      <w:rFonts w:ascii="Times New Roman" w:eastAsia="Times New Roman" w:hAnsi="Times New Roman" w:cs="Times New Roman"/>
      <w:kern w:val="0"/>
      <w:sz w:val="24"/>
      <w:szCs w:val="24"/>
      <w:lang w:val="en-US"/>
      <w14:ligatures w14:val="none"/>
    </w:rPr>
  </w:style>
  <w:style w:type="character" w:styleId="Strong">
    <w:name w:val="Strong"/>
    <w:basedOn w:val="DefaultParagraphFont"/>
    <w:qFormat/>
    <w:rsid w:val="0054565A"/>
    <w:rPr>
      <w:b/>
      <w:bCs/>
    </w:rPr>
  </w:style>
  <w:style w:type="character" w:styleId="Emphasis">
    <w:name w:val="Emphasis"/>
    <w:basedOn w:val="DefaultParagraphFont"/>
    <w:qFormat/>
    <w:rsid w:val="0054565A"/>
    <w:rPr>
      <w:i/>
      <w:iCs/>
    </w:rPr>
  </w:style>
  <w:style w:type="paragraph" w:styleId="Footer">
    <w:name w:val="footer"/>
    <w:basedOn w:val="Normal"/>
    <w:link w:val="FooterChar"/>
    <w:uiPriority w:val="99"/>
    <w:unhideWhenUsed/>
    <w:rsid w:val="007A4E70"/>
    <w:pPr>
      <w:tabs>
        <w:tab w:val="center" w:pos="4680"/>
        <w:tab w:val="right" w:pos="9360"/>
      </w:tabs>
      <w:spacing w:after="0"/>
    </w:pPr>
  </w:style>
  <w:style w:type="character" w:customStyle="1" w:styleId="FooterChar">
    <w:name w:val="Footer Char"/>
    <w:basedOn w:val="DefaultParagraphFont"/>
    <w:link w:val="Footer"/>
    <w:uiPriority w:val="99"/>
    <w:rsid w:val="007A4E70"/>
    <w:rPr>
      <w:rFonts w:ascii="Calibri" w:eastAsia="Calibri" w:hAnsi="Calibri" w:cs="Times New Roman"/>
      <w:kern w:val="0"/>
      <w:lang w:val="en-US"/>
      <w14:ligatures w14:val="none"/>
    </w:rPr>
  </w:style>
  <w:style w:type="paragraph" w:styleId="BalloonText">
    <w:name w:val="Balloon Text"/>
    <w:basedOn w:val="Normal"/>
    <w:link w:val="BalloonTextChar"/>
    <w:uiPriority w:val="99"/>
    <w:semiHidden/>
    <w:unhideWhenUsed/>
    <w:rsid w:val="00E273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35C"/>
    <w:rPr>
      <w:rFonts w:ascii="Tahoma" w:eastAsia="Calibri"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28664">
      <w:bodyDiv w:val="1"/>
      <w:marLeft w:val="0"/>
      <w:marRight w:val="0"/>
      <w:marTop w:val="0"/>
      <w:marBottom w:val="0"/>
      <w:divBdr>
        <w:top w:val="none" w:sz="0" w:space="0" w:color="auto"/>
        <w:left w:val="none" w:sz="0" w:space="0" w:color="auto"/>
        <w:bottom w:val="none" w:sz="0" w:space="0" w:color="auto"/>
        <w:right w:val="none" w:sz="0" w:space="0" w:color="auto"/>
      </w:divBdr>
    </w:div>
    <w:div w:id="175782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Mahammad Azharuddin</dc:creator>
  <cp:keywords/>
  <dc:description/>
  <cp:lastModifiedBy>Nouf Al Rammah</cp:lastModifiedBy>
  <cp:revision>5</cp:revision>
  <dcterms:created xsi:type="dcterms:W3CDTF">2024-09-01T08:46:00Z</dcterms:created>
  <dcterms:modified xsi:type="dcterms:W3CDTF">2025-09-14T10:33:00Z</dcterms:modified>
</cp:coreProperties>
</file>