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BE61" w14:textId="77777777" w:rsidR="00FF61F8" w:rsidRDefault="00FF61F8">
      <w:pPr>
        <w:pStyle w:val="BodyText"/>
        <w:kinsoku w:val="0"/>
        <w:overflowPunct w:val="0"/>
        <w:spacing w:before="5"/>
        <w:rPr>
          <w:rFonts w:ascii="Times New Roman" w:hAnsi="Times New Roman" w:cs="Times New Roman"/>
          <w:sz w:val="14"/>
          <w:szCs w:val="14"/>
        </w:rPr>
      </w:pPr>
    </w:p>
    <w:tbl>
      <w:tblPr>
        <w:tblW w:w="0" w:type="auto"/>
        <w:tblInd w:w="125" w:type="dxa"/>
        <w:tblLayout w:type="fixed"/>
        <w:tblCellMar>
          <w:left w:w="0" w:type="dxa"/>
          <w:right w:w="0" w:type="dxa"/>
        </w:tblCellMar>
        <w:tblLook w:val="0000" w:firstRow="0" w:lastRow="0" w:firstColumn="0" w:lastColumn="0" w:noHBand="0" w:noVBand="0"/>
      </w:tblPr>
      <w:tblGrid>
        <w:gridCol w:w="1784"/>
        <w:gridCol w:w="8640"/>
      </w:tblGrid>
      <w:tr w:rsidR="00FF61F8" w14:paraId="0EAFF939" w14:textId="77777777" w:rsidTr="0054418E">
        <w:trPr>
          <w:trHeight w:val="1403"/>
        </w:trPr>
        <w:tc>
          <w:tcPr>
            <w:tcW w:w="1784" w:type="dxa"/>
            <w:tcBorders>
              <w:top w:val="single" w:sz="4" w:space="0" w:color="000000"/>
              <w:left w:val="single" w:sz="4" w:space="0" w:color="000000"/>
              <w:bottom w:val="single" w:sz="4" w:space="0" w:color="000000"/>
              <w:right w:val="single" w:sz="4" w:space="0" w:color="000000"/>
            </w:tcBorders>
          </w:tcPr>
          <w:p w14:paraId="631450A6" w14:textId="77777777" w:rsidR="00FF61F8" w:rsidRDefault="00FF61F8">
            <w:pPr>
              <w:pStyle w:val="TableParagraph"/>
              <w:kinsoku w:val="0"/>
              <w:overflowPunct w:val="0"/>
              <w:spacing w:before="119"/>
              <w:ind w:left="107"/>
              <w:rPr>
                <w:b/>
                <w:bCs/>
              </w:rPr>
            </w:pPr>
            <w:r>
              <w:rPr>
                <w:b/>
                <w:bCs/>
              </w:rPr>
              <w:t>Brief</w:t>
            </w:r>
          </w:p>
        </w:tc>
        <w:tc>
          <w:tcPr>
            <w:tcW w:w="8640" w:type="dxa"/>
            <w:tcBorders>
              <w:top w:val="single" w:sz="4" w:space="0" w:color="000000"/>
              <w:left w:val="single" w:sz="4" w:space="0" w:color="000000"/>
              <w:bottom w:val="single" w:sz="4" w:space="0" w:color="000000"/>
              <w:right w:val="single" w:sz="4" w:space="0" w:color="000000"/>
            </w:tcBorders>
          </w:tcPr>
          <w:p w14:paraId="1D66E01A" w14:textId="77777777" w:rsidR="00FF61F8" w:rsidRDefault="00FF61F8">
            <w:pPr>
              <w:pStyle w:val="TableParagraph"/>
              <w:kinsoku w:val="0"/>
              <w:overflowPunct w:val="0"/>
              <w:spacing w:before="126" w:line="237" w:lineRule="auto"/>
              <w:ind w:left="210" w:right="191"/>
              <w:jc w:val="both"/>
            </w:pPr>
            <w:r>
              <w:t>To define SMSA Express accepted values for carriage. Explains the customer responsibility with regard to declaring the right carriage value of the shipment he renders to SMSA for transportation. SMSA Operational or SMSA Service Center</w:t>
            </w:r>
            <w:r>
              <w:rPr>
                <w:spacing w:val="-37"/>
              </w:rPr>
              <w:t xml:space="preserve"> </w:t>
            </w:r>
            <w:r>
              <w:t>(SSC) staff</w:t>
            </w:r>
          </w:p>
        </w:tc>
      </w:tr>
      <w:tr w:rsidR="00FF61F8" w14:paraId="61CAB905" w14:textId="77777777" w:rsidTr="0054418E">
        <w:trPr>
          <w:trHeight w:val="825"/>
        </w:trPr>
        <w:tc>
          <w:tcPr>
            <w:tcW w:w="1784" w:type="dxa"/>
            <w:tcBorders>
              <w:top w:val="single" w:sz="4" w:space="0" w:color="000000"/>
              <w:left w:val="single" w:sz="4" w:space="0" w:color="000000"/>
              <w:bottom w:val="single" w:sz="4" w:space="0" w:color="000000"/>
              <w:right w:val="single" w:sz="4" w:space="0" w:color="000000"/>
            </w:tcBorders>
          </w:tcPr>
          <w:p w14:paraId="0FF8C6E4" w14:textId="77777777" w:rsidR="00FF61F8" w:rsidRDefault="00FF61F8">
            <w:pPr>
              <w:pStyle w:val="TableParagraph"/>
              <w:kinsoku w:val="0"/>
              <w:overflowPunct w:val="0"/>
              <w:spacing w:before="119"/>
              <w:ind w:left="107"/>
              <w:rPr>
                <w:b/>
                <w:bCs/>
              </w:rPr>
            </w:pPr>
            <w:r>
              <w:rPr>
                <w:b/>
                <w:bCs/>
              </w:rPr>
              <w:t>Responsibilities</w:t>
            </w:r>
          </w:p>
        </w:tc>
        <w:tc>
          <w:tcPr>
            <w:tcW w:w="8640" w:type="dxa"/>
            <w:tcBorders>
              <w:top w:val="single" w:sz="4" w:space="0" w:color="000000"/>
              <w:left w:val="single" w:sz="4" w:space="0" w:color="000000"/>
              <w:bottom w:val="single" w:sz="4" w:space="0" w:color="000000"/>
              <w:right w:val="single" w:sz="4" w:space="0" w:color="000000"/>
            </w:tcBorders>
          </w:tcPr>
          <w:p w14:paraId="55F2E1BB" w14:textId="77777777" w:rsidR="00FF61F8" w:rsidRDefault="00FF61F8">
            <w:pPr>
              <w:pStyle w:val="TableParagraph"/>
              <w:kinsoku w:val="0"/>
              <w:overflowPunct w:val="0"/>
              <w:spacing w:before="119"/>
              <w:ind w:left="210"/>
            </w:pPr>
            <w:r>
              <w:t>Managers and Supervisors in SMSA Service Center (SSC)s, Operations, Hubs and Gateways where acceptance, handing &amp; sorting of shipments occurs.</w:t>
            </w:r>
          </w:p>
        </w:tc>
      </w:tr>
      <w:tr w:rsidR="00FF61F8" w14:paraId="7F9B79D0" w14:textId="77777777" w:rsidTr="0054418E">
        <w:trPr>
          <w:trHeight w:val="10086"/>
        </w:trPr>
        <w:tc>
          <w:tcPr>
            <w:tcW w:w="1784" w:type="dxa"/>
            <w:tcBorders>
              <w:top w:val="single" w:sz="4" w:space="0" w:color="000000"/>
              <w:left w:val="single" w:sz="4" w:space="0" w:color="000000"/>
              <w:bottom w:val="single" w:sz="4" w:space="0" w:color="000000"/>
              <w:right w:val="single" w:sz="4" w:space="0" w:color="000000"/>
            </w:tcBorders>
          </w:tcPr>
          <w:p w14:paraId="3928D8D9" w14:textId="77777777" w:rsidR="00FF61F8" w:rsidRDefault="00FF61F8">
            <w:pPr>
              <w:pStyle w:val="TableParagraph"/>
              <w:kinsoku w:val="0"/>
              <w:overflowPunct w:val="0"/>
              <w:spacing w:before="119"/>
              <w:ind w:left="107"/>
              <w:rPr>
                <w:b/>
                <w:bCs/>
              </w:rPr>
            </w:pPr>
            <w:r>
              <w:rPr>
                <w:b/>
                <w:bCs/>
              </w:rPr>
              <w:t>Guidelines</w:t>
            </w:r>
          </w:p>
        </w:tc>
        <w:tc>
          <w:tcPr>
            <w:tcW w:w="8640" w:type="dxa"/>
            <w:tcBorders>
              <w:top w:val="single" w:sz="4" w:space="0" w:color="000000"/>
              <w:left w:val="single" w:sz="4" w:space="0" w:color="000000"/>
              <w:bottom w:val="single" w:sz="4" w:space="0" w:color="000000"/>
              <w:right w:val="single" w:sz="4" w:space="0" w:color="000000"/>
            </w:tcBorders>
          </w:tcPr>
          <w:p w14:paraId="6F13C31D" w14:textId="77777777" w:rsidR="00FF61F8" w:rsidRDefault="00FF61F8">
            <w:pPr>
              <w:pStyle w:val="TableParagraph"/>
              <w:kinsoku w:val="0"/>
              <w:overflowPunct w:val="0"/>
              <w:spacing w:before="119"/>
              <w:ind w:left="179"/>
              <w:jc w:val="both"/>
              <w:rPr>
                <w:b/>
                <w:bCs/>
              </w:rPr>
            </w:pPr>
            <w:r>
              <w:rPr>
                <w:b/>
                <w:bCs/>
                <w:u w:val="single"/>
              </w:rPr>
              <w:t>Declared Value (DV) for Customs:</w:t>
            </w:r>
          </w:p>
          <w:p w14:paraId="643117E9" w14:textId="7B2AE902" w:rsidR="00FF61F8" w:rsidRDefault="00FF61F8">
            <w:pPr>
              <w:pStyle w:val="TableParagraph"/>
              <w:kinsoku w:val="0"/>
              <w:overflowPunct w:val="0"/>
              <w:spacing w:before="120"/>
              <w:ind w:left="179" w:right="165"/>
              <w:jc w:val="both"/>
            </w:pPr>
            <w:r>
              <w:t>Declared value (DV) for customs is required by each destination country. Limits on declared value for customs vary by country. Refer</w:t>
            </w:r>
            <w:r>
              <w:rPr>
                <w:spacing w:val="38"/>
              </w:rPr>
              <w:t xml:space="preserve"> </w:t>
            </w:r>
            <w:r>
              <w:t>to SRG</w:t>
            </w:r>
          </w:p>
          <w:p w14:paraId="4A6F2088" w14:textId="77777777" w:rsidR="00FF61F8" w:rsidRDefault="00FF61F8" w:rsidP="00101A49">
            <w:pPr>
              <w:pStyle w:val="TableParagraph"/>
              <w:kinsoku w:val="0"/>
              <w:overflowPunct w:val="0"/>
              <w:ind w:left="170"/>
              <w:rPr>
                <w:rFonts w:ascii="Times New Roman" w:hAnsi="Times New Roman" w:cs="Times New Roman"/>
              </w:rPr>
            </w:pPr>
          </w:p>
          <w:p w14:paraId="243FE7E9" w14:textId="77777777" w:rsidR="00FF61F8" w:rsidRDefault="00FF61F8" w:rsidP="00101A49">
            <w:pPr>
              <w:pStyle w:val="TableParagraph"/>
              <w:kinsoku w:val="0"/>
              <w:overflowPunct w:val="0"/>
              <w:spacing w:before="3"/>
              <w:ind w:left="170"/>
              <w:rPr>
                <w:rFonts w:ascii="Times New Roman" w:hAnsi="Times New Roman" w:cs="Times New Roman"/>
                <w:sz w:val="21"/>
                <w:szCs w:val="21"/>
              </w:rPr>
            </w:pPr>
          </w:p>
          <w:p w14:paraId="42B09BB4" w14:textId="77777777" w:rsidR="00FF61F8" w:rsidRDefault="00FF61F8">
            <w:pPr>
              <w:pStyle w:val="TableParagraph"/>
              <w:kinsoku w:val="0"/>
              <w:overflowPunct w:val="0"/>
              <w:ind w:left="179"/>
              <w:jc w:val="both"/>
              <w:rPr>
                <w:b/>
                <w:bCs/>
              </w:rPr>
            </w:pPr>
            <w:r>
              <w:rPr>
                <w:b/>
                <w:bCs/>
                <w:u w:val="single"/>
              </w:rPr>
              <w:t>Declared Value (DV) for Carriage:</w:t>
            </w:r>
          </w:p>
          <w:p w14:paraId="0C521BDD" w14:textId="12ABAA17" w:rsidR="00FF61F8" w:rsidRDefault="00FF61F8">
            <w:pPr>
              <w:pStyle w:val="TableParagraph"/>
              <w:kinsoku w:val="0"/>
              <w:overflowPunct w:val="0"/>
              <w:spacing w:before="120"/>
              <w:ind w:left="179" w:right="166"/>
              <w:jc w:val="both"/>
            </w:pPr>
            <w:r>
              <w:t xml:space="preserve">The actual value is the </w:t>
            </w:r>
            <w:r>
              <w:rPr>
                <w:spacing w:val="-3"/>
              </w:rPr>
              <w:t xml:space="preserve">cost </w:t>
            </w:r>
            <w:r>
              <w:t>to repair or replace a shipment or its depreciated value, whichever is less. The declared value from the customer’s point of view represents the monetary value of the item they are shipping. The declared value form SMSA’s point of view is to limit of the Company’s liability for the shipment when one of the following</w:t>
            </w:r>
            <w:r>
              <w:rPr>
                <w:spacing w:val="41"/>
              </w:rPr>
              <w:t xml:space="preserve"> </w:t>
            </w:r>
            <w:r>
              <w:t>applies:</w:t>
            </w:r>
          </w:p>
          <w:p w14:paraId="4503AE19" w14:textId="77777777" w:rsidR="00FF61F8" w:rsidRDefault="00FF61F8">
            <w:pPr>
              <w:pStyle w:val="TableParagraph"/>
              <w:numPr>
                <w:ilvl w:val="0"/>
                <w:numId w:val="3"/>
              </w:numPr>
              <w:tabs>
                <w:tab w:val="left" w:pos="931"/>
              </w:tabs>
              <w:kinsoku w:val="0"/>
              <w:overflowPunct w:val="0"/>
              <w:spacing w:before="119"/>
              <w:jc w:val="both"/>
            </w:pPr>
            <w:r>
              <w:t>A</w:t>
            </w:r>
            <w:r>
              <w:rPr>
                <w:spacing w:val="-4"/>
              </w:rPr>
              <w:t xml:space="preserve"> </w:t>
            </w:r>
            <w:r>
              <w:t>Shipment</w:t>
            </w:r>
            <w:r>
              <w:rPr>
                <w:spacing w:val="-3"/>
              </w:rPr>
              <w:t xml:space="preserve"> </w:t>
            </w:r>
            <w:r>
              <w:t>is</w:t>
            </w:r>
            <w:r>
              <w:rPr>
                <w:spacing w:val="-9"/>
              </w:rPr>
              <w:t xml:space="preserve"> </w:t>
            </w:r>
            <w:r>
              <w:t>delayed,</w:t>
            </w:r>
            <w:r>
              <w:rPr>
                <w:spacing w:val="-8"/>
              </w:rPr>
              <w:t xml:space="preserve"> </w:t>
            </w:r>
            <w:r>
              <w:t>damaged,</w:t>
            </w:r>
            <w:r>
              <w:rPr>
                <w:spacing w:val="-4"/>
              </w:rPr>
              <w:t xml:space="preserve"> </w:t>
            </w:r>
            <w:r>
              <w:t>lost</w:t>
            </w:r>
            <w:r>
              <w:rPr>
                <w:spacing w:val="-5"/>
              </w:rPr>
              <w:t xml:space="preserve"> </w:t>
            </w:r>
            <w:r>
              <w:t>or</w:t>
            </w:r>
            <w:r>
              <w:rPr>
                <w:spacing w:val="-6"/>
              </w:rPr>
              <w:t xml:space="preserve"> </w:t>
            </w:r>
            <w:r>
              <w:t>delivered</w:t>
            </w:r>
            <w:r>
              <w:rPr>
                <w:spacing w:val="-2"/>
              </w:rPr>
              <w:t xml:space="preserve"> </w:t>
            </w:r>
            <w:r>
              <w:t>to</w:t>
            </w:r>
            <w:r>
              <w:rPr>
                <w:spacing w:val="-6"/>
              </w:rPr>
              <w:t xml:space="preserve"> </w:t>
            </w:r>
            <w:r>
              <w:t>the</w:t>
            </w:r>
            <w:r>
              <w:rPr>
                <w:spacing w:val="-6"/>
              </w:rPr>
              <w:t xml:space="preserve"> </w:t>
            </w:r>
            <w:r>
              <w:t>wrong</w:t>
            </w:r>
            <w:r>
              <w:rPr>
                <w:spacing w:val="-4"/>
              </w:rPr>
              <w:t xml:space="preserve"> </w:t>
            </w:r>
            <w:r>
              <w:t>recipient</w:t>
            </w:r>
          </w:p>
          <w:p w14:paraId="393AD37E" w14:textId="77777777" w:rsidR="00FF61F8" w:rsidRDefault="00FF61F8">
            <w:pPr>
              <w:pStyle w:val="TableParagraph"/>
              <w:numPr>
                <w:ilvl w:val="0"/>
                <w:numId w:val="3"/>
              </w:numPr>
              <w:tabs>
                <w:tab w:val="left" w:pos="931"/>
              </w:tabs>
              <w:kinsoku w:val="0"/>
              <w:overflowPunct w:val="0"/>
              <w:spacing w:before="122"/>
              <w:ind w:right="168"/>
              <w:jc w:val="both"/>
            </w:pPr>
            <w:r>
              <w:t xml:space="preserve">Incorrect information was given to the customer or information was </w:t>
            </w:r>
            <w:r>
              <w:rPr>
                <w:spacing w:val="-3"/>
              </w:rPr>
              <w:t xml:space="preserve">not </w:t>
            </w:r>
            <w:r>
              <w:t>given to the</w:t>
            </w:r>
            <w:r>
              <w:rPr>
                <w:spacing w:val="-7"/>
              </w:rPr>
              <w:t xml:space="preserve"> </w:t>
            </w:r>
            <w:r>
              <w:t>customer.</w:t>
            </w:r>
          </w:p>
          <w:p w14:paraId="20D05D85" w14:textId="3157BE56" w:rsidR="00FF61F8" w:rsidRDefault="00FF61F8">
            <w:pPr>
              <w:pStyle w:val="TableParagraph"/>
              <w:kinsoku w:val="0"/>
              <w:overflowPunct w:val="0"/>
              <w:spacing w:before="122"/>
              <w:ind w:left="179" w:right="162"/>
              <w:jc w:val="both"/>
              <w:rPr>
                <w:spacing w:val="-4"/>
              </w:rPr>
            </w:pPr>
            <w:r>
              <w:t xml:space="preserve">If the actual value </w:t>
            </w:r>
            <w:r>
              <w:rPr>
                <w:spacing w:val="-3"/>
              </w:rPr>
              <w:t xml:space="preserve">of </w:t>
            </w:r>
            <w:r>
              <w:t xml:space="preserve">the contents of a package is less than the declared value, SMSA is liable only for the actual value. When a value is declared more than the default value (US$ 100) customer may choose to buy the SMSA Insurance charges by </w:t>
            </w:r>
            <w:r>
              <w:rPr>
                <w:spacing w:val="-3"/>
              </w:rPr>
              <w:t xml:space="preserve">paying </w:t>
            </w:r>
            <w:r>
              <w:rPr>
                <w:spacing w:val="-2"/>
              </w:rPr>
              <w:t xml:space="preserve">the </w:t>
            </w:r>
            <w:r>
              <w:rPr>
                <w:spacing w:val="-4"/>
              </w:rPr>
              <w:t xml:space="preserve">additional premium </w:t>
            </w:r>
            <w:r>
              <w:rPr>
                <w:spacing w:val="-3"/>
              </w:rPr>
              <w:t xml:space="preserve">and or have </w:t>
            </w:r>
            <w:r>
              <w:t xml:space="preserve">to </w:t>
            </w:r>
            <w:r>
              <w:rPr>
                <w:spacing w:val="-3"/>
              </w:rPr>
              <w:t xml:space="preserve">sign the </w:t>
            </w:r>
            <w:r>
              <w:rPr>
                <w:spacing w:val="-4"/>
              </w:rPr>
              <w:t>indemnity</w:t>
            </w:r>
            <w:r>
              <w:rPr>
                <w:spacing w:val="-38"/>
              </w:rPr>
              <w:t xml:space="preserve"> </w:t>
            </w:r>
            <w:r>
              <w:rPr>
                <w:spacing w:val="-4"/>
              </w:rPr>
              <w:t>form.</w:t>
            </w:r>
          </w:p>
          <w:p w14:paraId="74A07B80" w14:textId="77777777" w:rsidR="00FF61F8" w:rsidRDefault="00FF61F8">
            <w:pPr>
              <w:pStyle w:val="TableParagraph"/>
              <w:kinsoku w:val="0"/>
              <w:overflowPunct w:val="0"/>
              <w:ind w:left="0"/>
              <w:rPr>
                <w:rFonts w:ascii="Times New Roman" w:hAnsi="Times New Roman" w:cs="Times New Roman"/>
              </w:rPr>
            </w:pPr>
          </w:p>
          <w:p w14:paraId="4BAEC294" w14:textId="77777777" w:rsidR="00FF61F8" w:rsidRDefault="00FF61F8">
            <w:pPr>
              <w:pStyle w:val="TableParagraph"/>
              <w:kinsoku w:val="0"/>
              <w:overflowPunct w:val="0"/>
              <w:spacing w:before="3"/>
              <w:ind w:left="0"/>
              <w:rPr>
                <w:rFonts w:ascii="Times New Roman" w:hAnsi="Times New Roman" w:cs="Times New Roman"/>
                <w:sz w:val="21"/>
                <w:szCs w:val="21"/>
              </w:rPr>
            </w:pPr>
          </w:p>
          <w:p w14:paraId="0A6B82F5" w14:textId="77777777" w:rsidR="00FF61F8" w:rsidRDefault="00FF61F8">
            <w:pPr>
              <w:pStyle w:val="TableParagraph"/>
              <w:kinsoku w:val="0"/>
              <w:overflowPunct w:val="0"/>
              <w:ind w:left="211"/>
              <w:jc w:val="both"/>
              <w:rPr>
                <w:b/>
                <w:bCs/>
              </w:rPr>
            </w:pPr>
            <w:r>
              <w:rPr>
                <w:b/>
                <w:bCs/>
              </w:rPr>
              <w:t>Items of Extraordinary Value:</w:t>
            </w:r>
          </w:p>
          <w:p w14:paraId="598BA6A7" w14:textId="3C47F43C" w:rsidR="00FF61F8" w:rsidRDefault="00FF61F8">
            <w:pPr>
              <w:pStyle w:val="TableParagraph"/>
              <w:kinsoku w:val="0"/>
              <w:overflowPunct w:val="0"/>
              <w:spacing w:before="120"/>
              <w:ind w:left="210" w:right="166"/>
              <w:jc w:val="both"/>
            </w:pPr>
            <w:r>
              <w:t xml:space="preserve">When the shipments </w:t>
            </w:r>
            <w:r w:rsidR="000763F3">
              <w:t>contain</w:t>
            </w:r>
            <w:r>
              <w:t xml:space="preserve"> items described in “Items of Extraordinary Value” </w:t>
            </w:r>
            <w:r>
              <w:rPr>
                <w:spacing w:val="-3"/>
              </w:rPr>
              <w:t xml:space="preserve">in </w:t>
            </w:r>
            <w:r>
              <w:t>the Express SRG, the maximum value that can be declared value for carriage for the package is US$ 500 or US$9.07 per lb, whichever is</w:t>
            </w:r>
            <w:r>
              <w:rPr>
                <w:spacing w:val="-6"/>
              </w:rPr>
              <w:t xml:space="preserve"> </w:t>
            </w:r>
            <w:r>
              <w:t>more.</w:t>
            </w:r>
          </w:p>
          <w:p w14:paraId="5D85309A" w14:textId="77777777" w:rsidR="00FF61F8" w:rsidRDefault="00FF61F8">
            <w:pPr>
              <w:pStyle w:val="TableParagraph"/>
              <w:kinsoku w:val="0"/>
              <w:overflowPunct w:val="0"/>
              <w:ind w:left="0"/>
              <w:rPr>
                <w:rFonts w:ascii="Times New Roman" w:hAnsi="Times New Roman" w:cs="Times New Roman"/>
              </w:rPr>
            </w:pPr>
          </w:p>
          <w:p w14:paraId="59A67F47" w14:textId="77777777" w:rsidR="00FF61F8" w:rsidRDefault="00FF61F8">
            <w:pPr>
              <w:pStyle w:val="TableParagraph"/>
              <w:kinsoku w:val="0"/>
              <w:overflowPunct w:val="0"/>
              <w:spacing w:before="2"/>
              <w:ind w:left="0"/>
              <w:rPr>
                <w:rFonts w:ascii="Times New Roman" w:hAnsi="Times New Roman" w:cs="Times New Roman"/>
                <w:sz w:val="21"/>
                <w:szCs w:val="21"/>
              </w:rPr>
            </w:pPr>
          </w:p>
          <w:p w14:paraId="7A23394D" w14:textId="77777777" w:rsidR="00FF61F8" w:rsidRDefault="00FF61F8">
            <w:pPr>
              <w:pStyle w:val="TableParagraph"/>
              <w:kinsoku w:val="0"/>
              <w:overflowPunct w:val="0"/>
              <w:ind w:left="210" w:right="163"/>
              <w:jc w:val="both"/>
            </w:pPr>
            <w:r>
              <w:t>When the value is limit for customs in the destination country is less than US$500, then that is the limit on the DV for carriages.  For example, if the customs limit is US$300, the highest DV for carriage is also</w:t>
            </w:r>
            <w:r>
              <w:rPr>
                <w:spacing w:val="10"/>
              </w:rPr>
              <w:t xml:space="preserve"> </w:t>
            </w:r>
            <w:r>
              <w:t>US$300.</w:t>
            </w:r>
          </w:p>
          <w:p w14:paraId="06B1E207" w14:textId="77777777" w:rsidR="000763F3" w:rsidRPr="000763F3" w:rsidRDefault="000763F3" w:rsidP="000763F3"/>
          <w:p w14:paraId="2D026423" w14:textId="77777777" w:rsidR="000763F3" w:rsidRPr="000763F3" w:rsidRDefault="000763F3" w:rsidP="000763F3"/>
          <w:p w14:paraId="5441B48E" w14:textId="77777777" w:rsidR="000763F3" w:rsidRPr="000763F3" w:rsidRDefault="000763F3" w:rsidP="000763F3"/>
          <w:p w14:paraId="7CCC794D" w14:textId="77777777" w:rsidR="000763F3" w:rsidRPr="000763F3" w:rsidRDefault="000763F3" w:rsidP="000763F3"/>
          <w:p w14:paraId="636D9FE2" w14:textId="4B56797B" w:rsidR="000763F3" w:rsidRPr="000763F3" w:rsidRDefault="000763F3" w:rsidP="000763F3">
            <w:pPr>
              <w:tabs>
                <w:tab w:val="left" w:pos="6870"/>
              </w:tabs>
            </w:pPr>
            <w:r>
              <w:tab/>
            </w:r>
          </w:p>
        </w:tc>
      </w:tr>
      <w:tr w:rsidR="0054418E" w14:paraId="417618A4" w14:textId="77777777" w:rsidTr="002E7104">
        <w:trPr>
          <w:trHeight w:val="6107"/>
        </w:trPr>
        <w:tc>
          <w:tcPr>
            <w:tcW w:w="1784" w:type="dxa"/>
            <w:tcBorders>
              <w:top w:val="single" w:sz="4" w:space="0" w:color="000000"/>
              <w:left w:val="single" w:sz="4" w:space="0" w:color="000000"/>
              <w:bottom w:val="single" w:sz="4" w:space="0" w:color="000000"/>
              <w:right w:val="single" w:sz="4" w:space="0" w:color="000000"/>
            </w:tcBorders>
          </w:tcPr>
          <w:p w14:paraId="24C5D852" w14:textId="77777777" w:rsidR="0054418E" w:rsidRDefault="0054418E">
            <w:pPr>
              <w:pStyle w:val="TableParagraph"/>
              <w:kinsoku w:val="0"/>
              <w:overflowPunct w:val="0"/>
              <w:spacing w:before="119"/>
              <w:ind w:left="107"/>
              <w:rPr>
                <w:b/>
                <w:bCs/>
              </w:rPr>
            </w:pPr>
          </w:p>
        </w:tc>
        <w:tc>
          <w:tcPr>
            <w:tcW w:w="8640" w:type="dxa"/>
            <w:tcBorders>
              <w:top w:val="single" w:sz="4" w:space="0" w:color="000000"/>
              <w:left w:val="single" w:sz="4" w:space="0" w:color="000000"/>
              <w:bottom w:val="single" w:sz="4" w:space="0" w:color="000000"/>
              <w:right w:val="single" w:sz="4" w:space="0" w:color="000000"/>
            </w:tcBorders>
          </w:tcPr>
          <w:p w14:paraId="3670CB50" w14:textId="77777777" w:rsidR="0054418E" w:rsidRDefault="0054418E" w:rsidP="0054418E">
            <w:pPr>
              <w:pStyle w:val="BodyText"/>
              <w:kinsoku w:val="0"/>
              <w:overflowPunct w:val="0"/>
              <w:spacing w:before="240"/>
              <w:ind w:left="330"/>
            </w:pPr>
            <w:r>
              <w:t>Items of extraordinary, Description, and Examples:</w:t>
            </w:r>
          </w:p>
          <w:p w14:paraId="29F590BC" w14:textId="77777777" w:rsidR="0054418E" w:rsidRDefault="0054418E" w:rsidP="0054418E">
            <w:pPr>
              <w:pStyle w:val="BodyText"/>
              <w:kinsoku w:val="0"/>
              <w:overflowPunct w:val="0"/>
              <w:ind w:left="330"/>
            </w:pPr>
          </w:p>
          <w:tbl>
            <w:tblPr>
              <w:tblW w:w="0" w:type="auto"/>
              <w:tblInd w:w="320" w:type="dxa"/>
              <w:tblLayout w:type="fixed"/>
              <w:tblCellMar>
                <w:left w:w="0" w:type="dxa"/>
                <w:right w:w="0" w:type="dxa"/>
              </w:tblCellMar>
              <w:tblLook w:val="0000" w:firstRow="0" w:lastRow="0" w:firstColumn="0" w:lastColumn="0" w:noHBand="0" w:noVBand="0"/>
            </w:tblPr>
            <w:tblGrid>
              <w:gridCol w:w="1440"/>
              <w:gridCol w:w="6391"/>
            </w:tblGrid>
            <w:tr w:rsidR="0054418E" w14:paraId="730B1E7B" w14:textId="77777777" w:rsidTr="0054418E">
              <w:trPr>
                <w:trHeight w:val="392"/>
              </w:trPr>
              <w:tc>
                <w:tcPr>
                  <w:tcW w:w="1440" w:type="dxa"/>
                  <w:tcBorders>
                    <w:top w:val="single" w:sz="8" w:space="0" w:color="000000"/>
                    <w:left w:val="single" w:sz="8" w:space="0" w:color="000000"/>
                    <w:bottom w:val="single" w:sz="8" w:space="0" w:color="000000"/>
                    <w:right w:val="single" w:sz="8" w:space="0" w:color="000000"/>
                  </w:tcBorders>
                  <w:shd w:val="clear" w:color="auto" w:fill="37499C"/>
                </w:tcPr>
                <w:p w14:paraId="0AC2CD98" w14:textId="77777777" w:rsidR="0054418E" w:rsidRDefault="0054418E" w:rsidP="0054418E">
                  <w:pPr>
                    <w:pStyle w:val="TableParagraph"/>
                    <w:kinsoku w:val="0"/>
                    <w:overflowPunct w:val="0"/>
                    <w:spacing w:before="56"/>
                    <w:ind w:left="486"/>
                    <w:rPr>
                      <w:b/>
                      <w:bCs/>
                      <w:color w:val="FFFFFF"/>
                    </w:rPr>
                  </w:pPr>
                  <w:r>
                    <w:rPr>
                      <w:b/>
                      <w:bCs/>
                      <w:color w:val="FFFFFF"/>
                    </w:rPr>
                    <w:t>Items</w:t>
                  </w:r>
                </w:p>
              </w:tc>
              <w:tc>
                <w:tcPr>
                  <w:tcW w:w="6391" w:type="dxa"/>
                  <w:tcBorders>
                    <w:top w:val="single" w:sz="8" w:space="0" w:color="000000"/>
                    <w:left w:val="single" w:sz="8" w:space="0" w:color="000000"/>
                    <w:bottom w:val="single" w:sz="8" w:space="0" w:color="000000"/>
                    <w:right w:val="single" w:sz="8" w:space="0" w:color="000000"/>
                  </w:tcBorders>
                  <w:shd w:val="clear" w:color="auto" w:fill="37499C"/>
                </w:tcPr>
                <w:p w14:paraId="6E55F7AA" w14:textId="77777777" w:rsidR="0054418E" w:rsidRDefault="0054418E" w:rsidP="0054418E">
                  <w:pPr>
                    <w:pStyle w:val="TableParagraph"/>
                    <w:kinsoku w:val="0"/>
                    <w:overflowPunct w:val="0"/>
                    <w:spacing w:before="56"/>
                    <w:ind w:left="0" w:right="1850"/>
                    <w:jc w:val="right"/>
                    <w:rPr>
                      <w:b/>
                      <w:bCs/>
                      <w:color w:val="FFFFFF"/>
                    </w:rPr>
                  </w:pPr>
                  <w:r>
                    <w:rPr>
                      <w:b/>
                      <w:bCs/>
                      <w:color w:val="FFFFFF"/>
                    </w:rPr>
                    <w:t>Description and Examples</w:t>
                  </w:r>
                </w:p>
              </w:tc>
            </w:tr>
            <w:tr w:rsidR="0054418E" w14:paraId="1662C157" w14:textId="77777777" w:rsidTr="0054418E">
              <w:trPr>
                <w:trHeight w:val="2623"/>
              </w:trPr>
              <w:tc>
                <w:tcPr>
                  <w:tcW w:w="1440" w:type="dxa"/>
                  <w:tcBorders>
                    <w:top w:val="single" w:sz="8" w:space="0" w:color="000000"/>
                    <w:left w:val="single" w:sz="8" w:space="0" w:color="000000"/>
                    <w:bottom w:val="single" w:sz="8" w:space="0" w:color="000000"/>
                    <w:right w:val="single" w:sz="8" w:space="0" w:color="000000"/>
                  </w:tcBorders>
                </w:tcPr>
                <w:p w14:paraId="0C9D39EA" w14:textId="77777777" w:rsidR="0054418E" w:rsidRDefault="0054418E" w:rsidP="0054418E">
                  <w:pPr>
                    <w:pStyle w:val="TableParagraph"/>
                    <w:kinsoku w:val="0"/>
                    <w:overflowPunct w:val="0"/>
                    <w:spacing w:before="126"/>
                  </w:pPr>
                  <w:r>
                    <w:t>Artwork</w:t>
                  </w:r>
                </w:p>
              </w:tc>
              <w:tc>
                <w:tcPr>
                  <w:tcW w:w="6391" w:type="dxa"/>
                  <w:tcBorders>
                    <w:top w:val="single" w:sz="8" w:space="0" w:color="000000"/>
                    <w:left w:val="single" w:sz="8" w:space="0" w:color="000000"/>
                    <w:bottom w:val="single" w:sz="8" w:space="0" w:color="000000"/>
                    <w:right w:val="single" w:sz="8" w:space="0" w:color="000000"/>
                  </w:tcBorders>
                </w:tcPr>
                <w:p w14:paraId="06C388C6" w14:textId="77777777" w:rsidR="0054418E" w:rsidRDefault="0054418E" w:rsidP="0054418E">
                  <w:pPr>
                    <w:pStyle w:val="TableParagraph"/>
                    <w:kinsoku w:val="0"/>
                    <w:overflowPunct w:val="0"/>
                    <w:spacing w:before="128" w:line="237" w:lineRule="auto"/>
                    <w:ind w:right="81"/>
                    <w:jc w:val="both"/>
                  </w:pPr>
                  <w:r>
                    <w:t>Any  work  created   or   developed   by   the application  of skill, taste, or creative talent for sale, display, or collection, such as paintings, drawings, vases, tapestries, limited edition, prints fine art statuary, sculpture, collector’s items, photographic, negatives, photographic chromes, photographic slides and any other  commodity  that  by  its inherent  nature is particularly susceptible to damage, or the marker value of which particularly variable or difficult to</w:t>
                  </w:r>
                  <w:r>
                    <w:rPr>
                      <w:spacing w:val="-17"/>
                    </w:rPr>
                    <w:t xml:space="preserve"> </w:t>
                  </w:r>
                  <w:r>
                    <w:t>ascertain.</w:t>
                  </w:r>
                </w:p>
              </w:tc>
            </w:tr>
            <w:tr w:rsidR="0054418E" w14:paraId="21770036" w14:textId="77777777" w:rsidTr="0054418E">
              <w:trPr>
                <w:trHeight w:val="1516"/>
              </w:trPr>
              <w:tc>
                <w:tcPr>
                  <w:tcW w:w="1440" w:type="dxa"/>
                  <w:tcBorders>
                    <w:top w:val="single" w:sz="8" w:space="0" w:color="000000"/>
                    <w:left w:val="single" w:sz="8" w:space="0" w:color="000000"/>
                    <w:bottom w:val="single" w:sz="8" w:space="0" w:color="000000"/>
                    <w:right w:val="single" w:sz="8" w:space="0" w:color="000000"/>
                  </w:tcBorders>
                </w:tcPr>
                <w:p w14:paraId="659FDCED" w14:textId="77777777" w:rsidR="0054418E" w:rsidRDefault="0054418E" w:rsidP="0054418E">
                  <w:pPr>
                    <w:pStyle w:val="TableParagraph"/>
                    <w:kinsoku w:val="0"/>
                    <w:overflowPunct w:val="0"/>
                    <w:spacing w:before="126"/>
                  </w:pPr>
                  <w:r>
                    <w:t>Antiques</w:t>
                  </w:r>
                </w:p>
              </w:tc>
              <w:tc>
                <w:tcPr>
                  <w:tcW w:w="6391" w:type="dxa"/>
                  <w:tcBorders>
                    <w:top w:val="single" w:sz="8" w:space="0" w:color="000000"/>
                    <w:left w:val="single" w:sz="8" w:space="0" w:color="000000"/>
                    <w:bottom w:val="single" w:sz="8" w:space="0" w:color="000000"/>
                    <w:right w:val="single" w:sz="8" w:space="0" w:color="000000"/>
                  </w:tcBorders>
                </w:tcPr>
                <w:p w14:paraId="40EB6463" w14:textId="77777777" w:rsidR="0054418E" w:rsidRDefault="0054418E" w:rsidP="0054418E">
                  <w:pPr>
                    <w:pStyle w:val="TableParagraph"/>
                    <w:kinsoku w:val="0"/>
                    <w:overflowPunct w:val="0"/>
                    <w:spacing w:before="128" w:line="237" w:lineRule="auto"/>
                    <w:ind w:right="81"/>
                    <w:jc w:val="both"/>
                  </w:pPr>
                  <w:r>
                    <w:t xml:space="preserve">Any commodity which exhibits the style or fashion or a past era </w:t>
                  </w:r>
                  <w:r>
                    <w:rPr>
                      <w:spacing w:val="-3"/>
                    </w:rPr>
                    <w:t xml:space="preserve">and </w:t>
                  </w:r>
                  <w:r>
                    <w:t>whose history, age or rarity contributes to it value, such as furniture, tableware, glassware, collector’s items (Such as coins, stamps, sports cards, souvenirs, and memorabilia)</w:t>
                  </w:r>
                </w:p>
              </w:tc>
            </w:tr>
            <w:tr w:rsidR="0054418E" w14:paraId="24F434F8" w14:textId="77777777" w:rsidTr="0054418E">
              <w:trPr>
                <w:trHeight w:val="1172"/>
              </w:trPr>
              <w:tc>
                <w:tcPr>
                  <w:tcW w:w="1440" w:type="dxa"/>
                  <w:tcBorders>
                    <w:top w:val="single" w:sz="8" w:space="0" w:color="000000"/>
                    <w:left w:val="single" w:sz="8" w:space="0" w:color="000000"/>
                    <w:bottom w:val="single" w:sz="8" w:space="0" w:color="000000"/>
                    <w:right w:val="single" w:sz="8" w:space="0" w:color="000000"/>
                  </w:tcBorders>
                </w:tcPr>
                <w:p w14:paraId="6D4FCDB7" w14:textId="77777777" w:rsidR="0054418E" w:rsidRDefault="0054418E" w:rsidP="0054418E">
                  <w:pPr>
                    <w:pStyle w:val="TableParagraph"/>
                    <w:kinsoku w:val="0"/>
                    <w:overflowPunct w:val="0"/>
                    <w:spacing w:before="121"/>
                  </w:pPr>
                  <w:r>
                    <w:t>Glassware</w:t>
                  </w:r>
                </w:p>
              </w:tc>
              <w:tc>
                <w:tcPr>
                  <w:tcW w:w="6391" w:type="dxa"/>
                  <w:tcBorders>
                    <w:top w:val="single" w:sz="8" w:space="0" w:color="000000"/>
                    <w:left w:val="single" w:sz="8" w:space="0" w:color="000000"/>
                    <w:bottom w:val="single" w:sz="8" w:space="0" w:color="000000"/>
                    <w:right w:val="single" w:sz="8" w:space="0" w:color="000000"/>
                  </w:tcBorders>
                </w:tcPr>
                <w:p w14:paraId="2993C4DE" w14:textId="77777777" w:rsidR="0054418E" w:rsidRDefault="0054418E" w:rsidP="0054418E">
                  <w:pPr>
                    <w:pStyle w:val="TableParagraph"/>
                    <w:kinsoku w:val="0"/>
                    <w:overflowPunct w:val="0"/>
                    <w:spacing w:before="121"/>
                    <w:ind w:right="81"/>
                    <w:jc w:val="both"/>
                  </w:pPr>
                  <w:r>
                    <w:t xml:space="preserve">Items such as signs, mirrors, ceramics, porcelain, </w:t>
                  </w:r>
                  <w:proofErr w:type="spellStart"/>
                  <w:r>
                    <w:t>china</w:t>
                  </w:r>
                  <w:proofErr w:type="spellEnd"/>
                  <w:r>
                    <w:t>, crystal, glass, framed, glass, and any other commodity with similarity fragile</w:t>
                  </w:r>
                  <w:r>
                    <w:rPr>
                      <w:spacing w:val="-13"/>
                    </w:rPr>
                    <w:t xml:space="preserve"> </w:t>
                  </w:r>
                  <w:proofErr w:type="spellStart"/>
                  <w:r>
                    <w:t>jewelry</w:t>
                  </w:r>
                  <w:proofErr w:type="spellEnd"/>
                </w:p>
              </w:tc>
            </w:tr>
            <w:tr w:rsidR="0054418E" w14:paraId="34F81027" w14:textId="77777777" w:rsidTr="0054418E">
              <w:trPr>
                <w:trHeight w:val="1172"/>
              </w:trPr>
              <w:tc>
                <w:tcPr>
                  <w:tcW w:w="1440" w:type="dxa"/>
                  <w:tcBorders>
                    <w:top w:val="single" w:sz="8" w:space="0" w:color="000000"/>
                    <w:left w:val="single" w:sz="8" w:space="0" w:color="000000"/>
                    <w:bottom w:val="single" w:sz="8" w:space="0" w:color="000000"/>
                    <w:right w:val="single" w:sz="8" w:space="0" w:color="000000"/>
                  </w:tcBorders>
                </w:tcPr>
                <w:p w14:paraId="47A0CA09" w14:textId="77777777" w:rsidR="0054418E" w:rsidRDefault="0054418E" w:rsidP="0054418E">
                  <w:pPr>
                    <w:pStyle w:val="TableParagraph"/>
                    <w:kinsoku w:val="0"/>
                    <w:overflowPunct w:val="0"/>
                    <w:spacing w:before="126"/>
                  </w:pPr>
                  <w:proofErr w:type="spellStart"/>
                  <w:r>
                    <w:t>Jewelry</w:t>
                  </w:r>
                  <w:proofErr w:type="spellEnd"/>
                </w:p>
              </w:tc>
              <w:tc>
                <w:tcPr>
                  <w:tcW w:w="6391" w:type="dxa"/>
                  <w:tcBorders>
                    <w:top w:val="single" w:sz="8" w:space="0" w:color="000000"/>
                    <w:left w:val="single" w:sz="8" w:space="0" w:color="000000"/>
                    <w:bottom w:val="single" w:sz="8" w:space="0" w:color="000000"/>
                    <w:right w:val="single" w:sz="8" w:space="0" w:color="000000"/>
                  </w:tcBorders>
                </w:tcPr>
                <w:p w14:paraId="7E73A118" w14:textId="77777777" w:rsidR="0054418E" w:rsidRDefault="0054418E" w:rsidP="0054418E">
                  <w:pPr>
                    <w:pStyle w:val="TableParagraph"/>
                    <w:kinsoku w:val="0"/>
                    <w:overflowPunct w:val="0"/>
                    <w:spacing w:before="128" w:line="237" w:lineRule="auto"/>
                    <w:ind w:right="84"/>
                    <w:jc w:val="both"/>
                  </w:pPr>
                  <w:r>
                    <w:t>Items such as watches and their parts, precious and semiprecious gems or stones, whether cut or uncut, industrial diamonds, and costume</w:t>
                  </w:r>
                  <w:r>
                    <w:rPr>
                      <w:spacing w:val="-19"/>
                    </w:rPr>
                    <w:t xml:space="preserve"> </w:t>
                  </w:r>
                  <w:proofErr w:type="spellStart"/>
                  <w:r>
                    <w:t>jewelry</w:t>
                  </w:r>
                  <w:proofErr w:type="spellEnd"/>
                </w:p>
              </w:tc>
            </w:tr>
            <w:tr w:rsidR="0054418E" w14:paraId="3042BD61" w14:textId="77777777" w:rsidTr="0054418E">
              <w:trPr>
                <w:trHeight w:val="587"/>
              </w:trPr>
              <w:tc>
                <w:tcPr>
                  <w:tcW w:w="1440" w:type="dxa"/>
                  <w:tcBorders>
                    <w:top w:val="single" w:sz="8" w:space="0" w:color="000000"/>
                    <w:left w:val="single" w:sz="8" w:space="0" w:color="000000"/>
                    <w:bottom w:val="single" w:sz="8" w:space="0" w:color="000000"/>
                    <w:right w:val="single" w:sz="8" w:space="0" w:color="000000"/>
                  </w:tcBorders>
                </w:tcPr>
                <w:p w14:paraId="2B907A84" w14:textId="77777777" w:rsidR="0054418E" w:rsidRDefault="0054418E" w:rsidP="0054418E">
                  <w:pPr>
                    <w:pStyle w:val="TableParagraph"/>
                    <w:kinsoku w:val="0"/>
                    <w:overflowPunct w:val="0"/>
                    <w:spacing w:before="126"/>
                  </w:pPr>
                  <w:r>
                    <w:t>Furs</w:t>
                  </w:r>
                </w:p>
              </w:tc>
              <w:tc>
                <w:tcPr>
                  <w:tcW w:w="6391" w:type="dxa"/>
                  <w:tcBorders>
                    <w:top w:val="single" w:sz="8" w:space="0" w:color="000000"/>
                    <w:left w:val="single" w:sz="8" w:space="0" w:color="000000"/>
                    <w:bottom w:val="single" w:sz="8" w:space="0" w:color="000000"/>
                    <w:right w:val="single" w:sz="8" w:space="0" w:color="000000"/>
                  </w:tcBorders>
                </w:tcPr>
                <w:p w14:paraId="60B8E554" w14:textId="77777777" w:rsidR="0054418E" w:rsidRDefault="0054418E" w:rsidP="0054418E">
                  <w:pPr>
                    <w:pStyle w:val="TableParagraph"/>
                    <w:kinsoku w:val="0"/>
                    <w:overflowPunct w:val="0"/>
                    <w:spacing w:before="126"/>
                    <w:ind w:left="140" w:right="1846"/>
                  </w:pPr>
                  <w:r>
                    <w:t>Items such as fur clothing, fur-trimmed</w:t>
                  </w:r>
                </w:p>
              </w:tc>
            </w:tr>
            <w:tr w:rsidR="0054418E" w14:paraId="6907A636" w14:textId="77777777" w:rsidTr="0054418E">
              <w:trPr>
                <w:trHeight w:val="880"/>
              </w:trPr>
              <w:tc>
                <w:tcPr>
                  <w:tcW w:w="1440" w:type="dxa"/>
                  <w:tcBorders>
                    <w:top w:val="single" w:sz="8" w:space="0" w:color="000000"/>
                    <w:left w:val="single" w:sz="8" w:space="0" w:color="000000"/>
                    <w:bottom w:val="single" w:sz="8" w:space="0" w:color="000000"/>
                    <w:right w:val="single" w:sz="8" w:space="0" w:color="000000"/>
                  </w:tcBorders>
                </w:tcPr>
                <w:p w14:paraId="0B68015E" w14:textId="77777777" w:rsidR="0054418E" w:rsidRDefault="0054418E" w:rsidP="0054418E">
                  <w:pPr>
                    <w:pStyle w:val="TableParagraph"/>
                    <w:kinsoku w:val="0"/>
                    <w:overflowPunct w:val="0"/>
                    <w:spacing w:before="119"/>
                    <w:ind w:right="464"/>
                  </w:pPr>
                  <w:r>
                    <w:t>Precious metals</w:t>
                  </w:r>
                </w:p>
              </w:tc>
              <w:tc>
                <w:tcPr>
                  <w:tcW w:w="6391" w:type="dxa"/>
                  <w:tcBorders>
                    <w:top w:val="single" w:sz="8" w:space="0" w:color="000000"/>
                    <w:left w:val="single" w:sz="8" w:space="0" w:color="000000"/>
                    <w:bottom w:val="single" w:sz="8" w:space="0" w:color="000000"/>
                    <w:right w:val="single" w:sz="8" w:space="0" w:color="000000"/>
                  </w:tcBorders>
                </w:tcPr>
                <w:p w14:paraId="30091F6F" w14:textId="77777777" w:rsidR="0054418E" w:rsidRDefault="0054418E" w:rsidP="0054418E">
                  <w:pPr>
                    <w:pStyle w:val="TableParagraph"/>
                    <w:kinsoku w:val="0"/>
                    <w:overflowPunct w:val="0"/>
                    <w:spacing w:before="119"/>
                  </w:pPr>
                  <w:r>
                    <w:t>Items such as gold and silver bullion, dust, precipitates, or platinum (except as an integral part of electronic machinery)</w:t>
                  </w:r>
                </w:p>
              </w:tc>
            </w:tr>
          </w:tbl>
          <w:p w14:paraId="38D97DFB" w14:textId="77777777" w:rsidR="0054418E" w:rsidRDefault="0054418E" w:rsidP="0054418E">
            <w:pPr>
              <w:pStyle w:val="BodyText"/>
              <w:kinsoku w:val="0"/>
              <w:overflowPunct w:val="0"/>
              <w:spacing w:before="52"/>
              <w:ind w:left="330"/>
            </w:pPr>
          </w:p>
          <w:p w14:paraId="4EA8DB9C" w14:textId="77777777" w:rsidR="0054418E" w:rsidRDefault="0054418E" w:rsidP="0054418E">
            <w:pPr>
              <w:pStyle w:val="BodyText"/>
              <w:kinsoku w:val="0"/>
              <w:overflowPunct w:val="0"/>
              <w:ind w:left="510" w:hanging="180"/>
              <w:rPr>
                <w:b/>
                <w:bCs/>
              </w:rPr>
            </w:pPr>
            <w:r>
              <w:rPr>
                <w:b/>
                <w:bCs/>
              </w:rPr>
              <w:t>Declared Value Determination</w:t>
            </w:r>
          </w:p>
          <w:p w14:paraId="3EFDDF04" w14:textId="77777777" w:rsidR="0054418E" w:rsidRDefault="0054418E" w:rsidP="0054418E">
            <w:pPr>
              <w:pStyle w:val="BodyText"/>
              <w:kinsoku w:val="0"/>
              <w:overflowPunct w:val="0"/>
              <w:spacing w:line="292" w:lineRule="exact"/>
              <w:ind w:left="510" w:hanging="180"/>
            </w:pPr>
            <w:r>
              <w:t>Step1:</w:t>
            </w:r>
          </w:p>
          <w:p w14:paraId="2C617326" w14:textId="77777777" w:rsidR="0054418E" w:rsidRDefault="0054418E" w:rsidP="0054418E">
            <w:pPr>
              <w:pStyle w:val="ListParagraph"/>
              <w:numPr>
                <w:ilvl w:val="0"/>
                <w:numId w:val="2"/>
              </w:numPr>
              <w:kinsoku w:val="0"/>
              <w:overflowPunct w:val="0"/>
              <w:ind w:left="510" w:hanging="180"/>
            </w:pPr>
            <w:r>
              <w:t>Be sure declared values on the air waybill do not exceed</w:t>
            </w:r>
            <w:r>
              <w:rPr>
                <w:spacing w:val="-9"/>
              </w:rPr>
              <w:t xml:space="preserve"> </w:t>
            </w:r>
            <w:r>
              <w:t>limits</w:t>
            </w:r>
          </w:p>
          <w:p w14:paraId="318B325A" w14:textId="77777777" w:rsidR="0054418E" w:rsidRDefault="0054418E" w:rsidP="0054418E">
            <w:pPr>
              <w:pStyle w:val="ListParagraph"/>
              <w:numPr>
                <w:ilvl w:val="0"/>
                <w:numId w:val="2"/>
              </w:numPr>
              <w:kinsoku w:val="0"/>
              <w:overflowPunct w:val="0"/>
              <w:spacing w:before="1"/>
              <w:ind w:left="510" w:hanging="180"/>
            </w:pPr>
            <w:r>
              <w:t>Be sure the shipper entered DV for</w:t>
            </w:r>
            <w:r>
              <w:rPr>
                <w:spacing w:val="-3"/>
              </w:rPr>
              <w:t xml:space="preserve"> </w:t>
            </w:r>
            <w:r>
              <w:t>customs.</w:t>
            </w:r>
          </w:p>
          <w:p w14:paraId="44176D5A" w14:textId="77777777" w:rsidR="0054418E" w:rsidRDefault="0054418E" w:rsidP="0054418E">
            <w:pPr>
              <w:pStyle w:val="ListParagraph"/>
              <w:numPr>
                <w:ilvl w:val="0"/>
                <w:numId w:val="2"/>
              </w:numPr>
              <w:kinsoku w:val="0"/>
              <w:overflowPunct w:val="0"/>
              <w:spacing w:line="240" w:lineRule="auto"/>
              <w:ind w:left="510" w:right="295" w:hanging="180"/>
            </w:pPr>
            <w:r>
              <w:t>If no DV for carriage is declared, tell the sender SMSA liability for IP shipment is limited to a default of USD$ 100 per package or value of goods whichever is lower.</w:t>
            </w:r>
          </w:p>
          <w:p w14:paraId="2ADDC05B" w14:textId="77777777" w:rsidR="0054418E" w:rsidRDefault="0054418E" w:rsidP="0054418E">
            <w:pPr>
              <w:pStyle w:val="BodyText"/>
              <w:numPr>
                <w:ilvl w:val="0"/>
                <w:numId w:val="2"/>
              </w:numPr>
              <w:tabs>
                <w:tab w:val="left" w:pos="360"/>
              </w:tabs>
              <w:kinsoku w:val="0"/>
              <w:overflowPunct w:val="0"/>
              <w:spacing w:line="305" w:lineRule="exact"/>
              <w:ind w:left="510" w:hanging="180"/>
              <w:jc w:val="both"/>
            </w:pPr>
            <w:r>
              <w:t>Be sure the DV for carriage is not more than the DV for</w:t>
            </w:r>
            <w:r>
              <w:rPr>
                <w:spacing w:val="-8"/>
              </w:rPr>
              <w:t xml:space="preserve"> </w:t>
            </w:r>
            <w:r>
              <w:t>customs.</w:t>
            </w:r>
          </w:p>
          <w:p w14:paraId="18291BC8" w14:textId="77777777" w:rsidR="0054418E" w:rsidRDefault="0054418E" w:rsidP="0054418E">
            <w:pPr>
              <w:pStyle w:val="BodyText"/>
              <w:numPr>
                <w:ilvl w:val="0"/>
                <w:numId w:val="2"/>
              </w:numPr>
              <w:tabs>
                <w:tab w:val="left" w:pos="360"/>
              </w:tabs>
              <w:kinsoku w:val="0"/>
              <w:overflowPunct w:val="0"/>
              <w:ind w:left="510" w:right="18" w:hanging="180"/>
              <w:jc w:val="both"/>
            </w:pPr>
            <w:r>
              <w:t>Be sure the DV for carriage in the Total DV for carriage box is not more than SMSA maximum DV per-package and per-shipment limits as summarized in the table</w:t>
            </w:r>
            <w:r>
              <w:rPr>
                <w:spacing w:val="-2"/>
              </w:rPr>
              <w:t xml:space="preserve"> </w:t>
            </w:r>
            <w:r>
              <w:t>below.</w:t>
            </w:r>
          </w:p>
          <w:p w14:paraId="277E0F24" w14:textId="77777777" w:rsidR="0054418E" w:rsidRDefault="0054418E">
            <w:pPr>
              <w:pStyle w:val="TableParagraph"/>
              <w:kinsoku w:val="0"/>
              <w:overflowPunct w:val="0"/>
              <w:spacing w:before="119"/>
              <w:ind w:left="179"/>
              <w:jc w:val="both"/>
              <w:rPr>
                <w:b/>
                <w:bCs/>
                <w:u w:val="single"/>
              </w:rPr>
            </w:pPr>
          </w:p>
          <w:tbl>
            <w:tblPr>
              <w:tblW w:w="0" w:type="auto"/>
              <w:tblInd w:w="320" w:type="dxa"/>
              <w:tblLayout w:type="fixed"/>
              <w:tblCellMar>
                <w:left w:w="0" w:type="dxa"/>
                <w:right w:w="0" w:type="dxa"/>
              </w:tblCellMar>
              <w:tblLook w:val="0000" w:firstRow="0" w:lastRow="0" w:firstColumn="0" w:lastColumn="0" w:noHBand="0" w:noVBand="0"/>
            </w:tblPr>
            <w:tblGrid>
              <w:gridCol w:w="3060"/>
              <w:gridCol w:w="5040"/>
            </w:tblGrid>
            <w:tr w:rsidR="0054418E" w14:paraId="44A86AC2" w14:textId="77777777" w:rsidTr="0054418E">
              <w:trPr>
                <w:trHeight w:val="409"/>
              </w:trPr>
              <w:tc>
                <w:tcPr>
                  <w:tcW w:w="3060" w:type="dxa"/>
                  <w:tcBorders>
                    <w:top w:val="single" w:sz="8" w:space="0" w:color="000000"/>
                    <w:left w:val="single" w:sz="8" w:space="0" w:color="000000"/>
                    <w:bottom w:val="single" w:sz="8" w:space="0" w:color="000000"/>
                    <w:right w:val="single" w:sz="8" w:space="0" w:color="000000"/>
                  </w:tcBorders>
                  <w:shd w:val="clear" w:color="auto" w:fill="37499C"/>
                </w:tcPr>
                <w:p w14:paraId="77EBCC9A" w14:textId="77777777" w:rsidR="0054418E" w:rsidRDefault="0054418E" w:rsidP="0054418E">
                  <w:pPr>
                    <w:pStyle w:val="TableParagraph"/>
                    <w:kinsoku w:val="0"/>
                    <w:overflowPunct w:val="0"/>
                    <w:spacing w:before="66"/>
                    <w:ind w:left="902"/>
                    <w:rPr>
                      <w:b/>
                      <w:bCs/>
                      <w:color w:val="FFFFFF"/>
                    </w:rPr>
                  </w:pPr>
                  <w:r>
                    <w:rPr>
                      <w:b/>
                      <w:bCs/>
                      <w:color w:val="FFFFFF"/>
                    </w:rPr>
                    <w:t>Package Type</w:t>
                  </w:r>
                </w:p>
              </w:tc>
              <w:tc>
                <w:tcPr>
                  <w:tcW w:w="5040" w:type="dxa"/>
                  <w:tcBorders>
                    <w:top w:val="single" w:sz="8" w:space="0" w:color="000000"/>
                    <w:left w:val="single" w:sz="8" w:space="0" w:color="000000"/>
                    <w:bottom w:val="single" w:sz="8" w:space="0" w:color="000000"/>
                    <w:right w:val="single" w:sz="8" w:space="0" w:color="000000"/>
                  </w:tcBorders>
                  <w:shd w:val="clear" w:color="auto" w:fill="37499C"/>
                </w:tcPr>
                <w:p w14:paraId="2C15353F" w14:textId="77777777" w:rsidR="0054418E" w:rsidRDefault="0054418E" w:rsidP="0054418E">
                  <w:pPr>
                    <w:pStyle w:val="TableParagraph"/>
                    <w:kinsoku w:val="0"/>
                    <w:overflowPunct w:val="0"/>
                    <w:spacing w:before="66"/>
                    <w:ind w:left="853"/>
                    <w:rPr>
                      <w:b/>
                      <w:bCs/>
                      <w:color w:val="FFFFFF"/>
                    </w:rPr>
                  </w:pPr>
                  <w:r>
                    <w:rPr>
                      <w:b/>
                      <w:bCs/>
                      <w:color w:val="FFFFFF"/>
                    </w:rPr>
                    <w:t>Declared Value Limit per Shipment</w:t>
                  </w:r>
                </w:p>
              </w:tc>
            </w:tr>
            <w:tr w:rsidR="0054418E" w14:paraId="11C56D05" w14:textId="77777777" w:rsidTr="0054418E">
              <w:trPr>
                <w:trHeight w:val="584"/>
              </w:trPr>
              <w:tc>
                <w:tcPr>
                  <w:tcW w:w="3060" w:type="dxa"/>
                  <w:tcBorders>
                    <w:top w:val="single" w:sz="8" w:space="0" w:color="000000"/>
                    <w:left w:val="single" w:sz="8" w:space="0" w:color="000000"/>
                    <w:bottom w:val="single" w:sz="8" w:space="0" w:color="000000"/>
                    <w:right w:val="single" w:sz="8" w:space="0" w:color="000000"/>
                  </w:tcBorders>
                  <w:vAlign w:val="center"/>
                </w:tcPr>
                <w:p w14:paraId="0C146926" w14:textId="77777777" w:rsidR="0054418E" w:rsidRDefault="0054418E" w:rsidP="0054418E">
                  <w:pPr>
                    <w:pStyle w:val="TableParagraph"/>
                    <w:kinsoku w:val="0"/>
                    <w:overflowPunct w:val="0"/>
                    <w:spacing w:line="290" w:lineRule="atLeast"/>
                    <w:ind w:right="648"/>
                  </w:pPr>
                  <w:r>
                    <w:t>SMSA Envelope (Priority Letter)</w:t>
                  </w:r>
                </w:p>
              </w:tc>
              <w:tc>
                <w:tcPr>
                  <w:tcW w:w="5040" w:type="dxa"/>
                  <w:tcBorders>
                    <w:top w:val="single" w:sz="8" w:space="0" w:color="000000"/>
                    <w:left w:val="single" w:sz="8" w:space="0" w:color="000000"/>
                    <w:bottom w:val="single" w:sz="8" w:space="0" w:color="000000"/>
                    <w:right w:val="single" w:sz="8" w:space="0" w:color="000000"/>
                  </w:tcBorders>
                  <w:vAlign w:val="center"/>
                </w:tcPr>
                <w:p w14:paraId="06129406" w14:textId="77777777" w:rsidR="0054418E" w:rsidRDefault="0054418E" w:rsidP="0054418E">
                  <w:pPr>
                    <w:pStyle w:val="TableParagraph"/>
                    <w:kinsoku w:val="0"/>
                    <w:overflowPunct w:val="0"/>
                  </w:pPr>
                  <w:r>
                    <w:t>US$ 100 or US$9.07 lb, whichever is more</w:t>
                  </w:r>
                </w:p>
              </w:tc>
            </w:tr>
            <w:tr w:rsidR="0054418E" w14:paraId="15C78974" w14:textId="77777777" w:rsidTr="0054418E">
              <w:trPr>
                <w:trHeight w:val="580"/>
              </w:trPr>
              <w:tc>
                <w:tcPr>
                  <w:tcW w:w="3060" w:type="dxa"/>
                  <w:tcBorders>
                    <w:top w:val="single" w:sz="8" w:space="0" w:color="000000"/>
                    <w:left w:val="single" w:sz="8" w:space="0" w:color="000000"/>
                    <w:bottom w:val="single" w:sz="8" w:space="0" w:color="000000"/>
                    <w:right w:val="single" w:sz="8" w:space="0" w:color="000000"/>
                  </w:tcBorders>
                  <w:vAlign w:val="center"/>
                </w:tcPr>
                <w:p w14:paraId="5DF40D31" w14:textId="77777777" w:rsidR="0054418E" w:rsidRDefault="0054418E" w:rsidP="0054418E">
                  <w:pPr>
                    <w:pStyle w:val="TableParagraph"/>
                    <w:kinsoku w:val="0"/>
                    <w:overflowPunct w:val="0"/>
                  </w:pPr>
                  <w:r>
                    <w:t>SMSA Pak</w:t>
                  </w:r>
                </w:p>
              </w:tc>
              <w:tc>
                <w:tcPr>
                  <w:tcW w:w="5040" w:type="dxa"/>
                  <w:tcBorders>
                    <w:top w:val="single" w:sz="8" w:space="0" w:color="000000"/>
                    <w:left w:val="single" w:sz="8" w:space="0" w:color="000000"/>
                    <w:bottom w:val="single" w:sz="8" w:space="0" w:color="000000"/>
                    <w:right w:val="single" w:sz="8" w:space="0" w:color="000000"/>
                  </w:tcBorders>
                  <w:vAlign w:val="center"/>
                </w:tcPr>
                <w:p w14:paraId="76AAE95D" w14:textId="77777777" w:rsidR="0054418E" w:rsidRDefault="0054418E" w:rsidP="0054418E">
                  <w:pPr>
                    <w:pStyle w:val="TableParagraph"/>
                    <w:kinsoku w:val="0"/>
                    <w:overflowPunct w:val="0"/>
                  </w:pPr>
                  <w:r>
                    <w:t>US$ 100 or US$9.07 lb, whichever is more</w:t>
                  </w:r>
                </w:p>
              </w:tc>
            </w:tr>
            <w:tr w:rsidR="0054418E" w14:paraId="4A5DF735" w14:textId="77777777" w:rsidTr="0054418E">
              <w:trPr>
                <w:trHeight w:val="584"/>
              </w:trPr>
              <w:tc>
                <w:tcPr>
                  <w:tcW w:w="3060" w:type="dxa"/>
                  <w:tcBorders>
                    <w:top w:val="single" w:sz="8" w:space="0" w:color="000000"/>
                    <w:left w:val="single" w:sz="8" w:space="0" w:color="000000"/>
                    <w:bottom w:val="single" w:sz="8" w:space="0" w:color="000000"/>
                    <w:right w:val="single" w:sz="8" w:space="0" w:color="000000"/>
                  </w:tcBorders>
                  <w:vAlign w:val="center"/>
                </w:tcPr>
                <w:p w14:paraId="22F0D393" w14:textId="77777777" w:rsidR="0054418E" w:rsidRDefault="0054418E" w:rsidP="0054418E">
                  <w:pPr>
                    <w:pStyle w:val="TableParagraph"/>
                    <w:kinsoku w:val="0"/>
                    <w:overflowPunct w:val="0"/>
                  </w:pPr>
                  <w:r>
                    <w:t>All other packaging</w:t>
                  </w:r>
                </w:p>
              </w:tc>
              <w:tc>
                <w:tcPr>
                  <w:tcW w:w="5040" w:type="dxa"/>
                  <w:tcBorders>
                    <w:top w:val="single" w:sz="8" w:space="0" w:color="000000"/>
                    <w:left w:val="single" w:sz="8" w:space="0" w:color="000000"/>
                    <w:bottom w:val="single" w:sz="8" w:space="0" w:color="000000"/>
                    <w:right w:val="single" w:sz="8" w:space="0" w:color="000000"/>
                  </w:tcBorders>
                  <w:vAlign w:val="center"/>
                </w:tcPr>
                <w:p w14:paraId="0BF17D3B" w14:textId="77777777" w:rsidR="0054418E" w:rsidRDefault="0054418E" w:rsidP="0054418E">
                  <w:pPr>
                    <w:pStyle w:val="TableParagraph"/>
                    <w:kinsoku w:val="0"/>
                    <w:overflowPunct w:val="0"/>
                    <w:spacing w:before="3" w:line="290" w:lineRule="exact"/>
                    <w:ind w:right="243"/>
                  </w:pPr>
                  <w:r>
                    <w:t>US$ 50,000 or the value limit set by customs in destination country, whichever is</w:t>
                  </w:r>
                  <w:r>
                    <w:rPr>
                      <w:spacing w:val="-19"/>
                    </w:rPr>
                    <w:t xml:space="preserve"> </w:t>
                  </w:r>
                  <w:r>
                    <w:t>less</w:t>
                  </w:r>
                </w:p>
              </w:tc>
            </w:tr>
            <w:tr w:rsidR="0054418E" w14:paraId="36B9D013" w14:textId="77777777" w:rsidTr="0054418E">
              <w:trPr>
                <w:trHeight w:val="584"/>
              </w:trPr>
              <w:tc>
                <w:tcPr>
                  <w:tcW w:w="3060" w:type="dxa"/>
                  <w:tcBorders>
                    <w:top w:val="single" w:sz="8" w:space="0" w:color="000000"/>
                    <w:left w:val="single" w:sz="8" w:space="0" w:color="000000"/>
                    <w:bottom w:val="single" w:sz="8" w:space="0" w:color="000000"/>
                    <w:right w:val="single" w:sz="8" w:space="0" w:color="000000"/>
                  </w:tcBorders>
                  <w:vAlign w:val="center"/>
                </w:tcPr>
                <w:p w14:paraId="11E17DA1" w14:textId="77777777" w:rsidR="0054418E" w:rsidRDefault="0054418E" w:rsidP="0054418E">
                  <w:pPr>
                    <w:pStyle w:val="TableParagraph"/>
                    <w:kinsoku w:val="0"/>
                    <w:overflowPunct w:val="0"/>
                    <w:spacing w:line="290" w:lineRule="exact"/>
                  </w:pPr>
                  <w:r>
                    <w:t>A package containing item with extraordinary value</w:t>
                  </w:r>
                </w:p>
              </w:tc>
              <w:tc>
                <w:tcPr>
                  <w:tcW w:w="5040" w:type="dxa"/>
                  <w:tcBorders>
                    <w:top w:val="single" w:sz="8" w:space="0" w:color="000000"/>
                    <w:left w:val="single" w:sz="8" w:space="0" w:color="000000"/>
                    <w:bottom w:val="single" w:sz="8" w:space="0" w:color="000000"/>
                    <w:right w:val="single" w:sz="8" w:space="0" w:color="000000"/>
                  </w:tcBorders>
                  <w:vAlign w:val="center"/>
                </w:tcPr>
                <w:p w14:paraId="129D4702" w14:textId="77777777" w:rsidR="0054418E" w:rsidRDefault="0054418E" w:rsidP="0054418E">
                  <w:pPr>
                    <w:pStyle w:val="TableParagraph"/>
                    <w:kinsoku w:val="0"/>
                    <w:overflowPunct w:val="0"/>
                    <w:spacing w:before="1"/>
                  </w:pPr>
                  <w:r>
                    <w:t>US$ 500 or US$9.07 lb, whichever is more</w:t>
                  </w:r>
                </w:p>
              </w:tc>
            </w:tr>
            <w:tr w:rsidR="0054418E" w14:paraId="50CB30CB" w14:textId="77777777" w:rsidTr="0054418E">
              <w:trPr>
                <w:trHeight w:val="584"/>
              </w:trPr>
              <w:tc>
                <w:tcPr>
                  <w:tcW w:w="3060" w:type="dxa"/>
                  <w:tcBorders>
                    <w:top w:val="single" w:sz="8" w:space="0" w:color="000000"/>
                    <w:left w:val="single" w:sz="8" w:space="0" w:color="000000"/>
                    <w:bottom w:val="single" w:sz="8" w:space="0" w:color="000000"/>
                    <w:right w:val="single" w:sz="8" w:space="0" w:color="000000"/>
                  </w:tcBorders>
                  <w:vAlign w:val="center"/>
                </w:tcPr>
                <w:p w14:paraId="11703329" w14:textId="77777777" w:rsidR="0054418E" w:rsidRDefault="0054418E" w:rsidP="0054418E">
                  <w:pPr>
                    <w:pStyle w:val="TableParagraph"/>
                    <w:kinsoku w:val="0"/>
                    <w:overflowPunct w:val="0"/>
                  </w:pPr>
                  <w:r>
                    <w:t>IP Shipments</w:t>
                  </w:r>
                </w:p>
              </w:tc>
              <w:tc>
                <w:tcPr>
                  <w:tcW w:w="5040" w:type="dxa"/>
                  <w:tcBorders>
                    <w:top w:val="single" w:sz="8" w:space="0" w:color="000000"/>
                    <w:left w:val="single" w:sz="8" w:space="0" w:color="000000"/>
                    <w:bottom w:val="single" w:sz="8" w:space="0" w:color="000000"/>
                    <w:right w:val="single" w:sz="8" w:space="0" w:color="000000"/>
                  </w:tcBorders>
                  <w:vAlign w:val="center"/>
                </w:tcPr>
                <w:p w14:paraId="18675F99" w14:textId="77777777" w:rsidR="0054418E" w:rsidRDefault="0054418E" w:rsidP="0054418E">
                  <w:pPr>
                    <w:pStyle w:val="TableParagraph"/>
                    <w:kinsoku w:val="0"/>
                    <w:overflowPunct w:val="0"/>
                  </w:pPr>
                  <w:r>
                    <w:t>US$ 50,000</w:t>
                  </w:r>
                </w:p>
              </w:tc>
            </w:tr>
          </w:tbl>
          <w:p w14:paraId="66E3DAA4" w14:textId="77777777" w:rsidR="0054418E" w:rsidRDefault="0054418E">
            <w:pPr>
              <w:pStyle w:val="TableParagraph"/>
              <w:kinsoku w:val="0"/>
              <w:overflowPunct w:val="0"/>
              <w:spacing w:before="119"/>
              <w:ind w:left="179"/>
              <w:jc w:val="both"/>
              <w:rPr>
                <w:b/>
                <w:bCs/>
                <w:u w:val="single"/>
              </w:rPr>
            </w:pPr>
          </w:p>
          <w:p w14:paraId="2EF7A3CF" w14:textId="58B8AE79" w:rsidR="0054418E" w:rsidRDefault="0054418E" w:rsidP="002E7104">
            <w:pPr>
              <w:pStyle w:val="TableParagraph"/>
              <w:kinsoku w:val="0"/>
              <w:overflowPunct w:val="0"/>
              <w:spacing w:before="119"/>
              <w:ind w:left="260" w:right="280"/>
              <w:jc w:val="both"/>
              <w:rPr>
                <w:b/>
                <w:bCs/>
                <w:u w:val="single"/>
              </w:rPr>
            </w:pPr>
            <w:r>
              <w:rPr>
                <w:b/>
                <w:bCs/>
                <w:u w:val="single"/>
              </w:rPr>
              <w:t>Important Note:</w:t>
            </w:r>
          </w:p>
          <w:p w14:paraId="55087B7C" w14:textId="5E81D761" w:rsidR="0054418E" w:rsidRPr="00A31632" w:rsidRDefault="0054418E" w:rsidP="00A31632">
            <w:pPr>
              <w:pStyle w:val="BodyText"/>
              <w:kinsoku w:val="0"/>
              <w:overflowPunct w:val="0"/>
              <w:spacing w:before="120" w:after="120" w:line="243" w:lineRule="exact"/>
              <w:ind w:left="260" w:right="280"/>
              <w:jc w:val="both"/>
            </w:pPr>
            <w:r>
              <w:t>Unless the sender chose to use the SMSA insurance by paying an additional</w:t>
            </w:r>
            <w:r w:rsidR="002E7104">
              <w:t xml:space="preserve"> </w:t>
            </w:r>
            <w:r>
              <w:t>premium of insurance for any package above the 100 USD, SMSA limits the liability for any loss or damage for the package tendered to a maximum of 100 USD or value of the goods whichever is lower.</w:t>
            </w:r>
          </w:p>
        </w:tc>
      </w:tr>
    </w:tbl>
    <w:p w14:paraId="0A9D232B" w14:textId="77777777" w:rsidR="00FF61F8" w:rsidRDefault="00FF61F8">
      <w:pPr>
        <w:rPr>
          <w:rFonts w:ascii="Times New Roman" w:hAnsi="Times New Roman" w:cs="Times New Roman"/>
          <w:sz w:val="14"/>
          <w:szCs w:val="14"/>
        </w:rPr>
        <w:sectPr w:rsidR="00FF61F8" w:rsidSect="00A31632">
          <w:headerReference w:type="default" r:id="rId8"/>
          <w:footerReference w:type="default" r:id="rId9"/>
          <w:pgSz w:w="12240" w:h="15840"/>
          <w:pgMar w:top="1560" w:right="600" w:bottom="1160" w:left="780" w:header="757" w:footer="432" w:gutter="0"/>
          <w:pgNumType w:start="1"/>
          <w:cols w:space="720"/>
          <w:noEndnote/>
          <w:docGrid w:linePitch="299"/>
        </w:sectPr>
      </w:pPr>
    </w:p>
    <w:p w14:paraId="52D8B418" w14:textId="517C3529" w:rsidR="00A31632" w:rsidRPr="00B2551E" w:rsidRDefault="00A31632" w:rsidP="00B2551E">
      <w:pPr>
        <w:rPr>
          <w:color w:val="000000" w:themeColor="text1"/>
        </w:rPr>
      </w:pPr>
    </w:p>
    <w:sectPr w:rsidR="00A31632" w:rsidRPr="00B2551E">
      <w:pgSz w:w="12240" w:h="15840"/>
      <w:pgMar w:top="1560" w:right="600" w:bottom="1160" w:left="780" w:header="757" w:footer="9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6A0C" w14:textId="77777777" w:rsidR="00B67A2E" w:rsidRDefault="00B67A2E">
      <w:r>
        <w:separator/>
      </w:r>
    </w:p>
  </w:endnote>
  <w:endnote w:type="continuationSeparator" w:id="0">
    <w:p w14:paraId="5631796E" w14:textId="77777777" w:rsidR="00B67A2E" w:rsidRDefault="00B6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8702" w14:textId="77777777" w:rsidR="00867320" w:rsidRDefault="00867320">
    <w:pPr>
      <w:pStyle w:val="Footer"/>
      <w:jc w:val="center"/>
      <w:rPr>
        <w:color w:val="000000" w:themeColor="text1"/>
      </w:rPr>
    </w:pPr>
    <w:r w:rsidRPr="00867320">
      <w:rPr>
        <w:color w:val="000000" w:themeColor="text1"/>
      </w:rPr>
      <w:t xml:space="preserve">Page </w:t>
    </w:r>
    <w:r w:rsidRPr="00867320">
      <w:rPr>
        <w:color w:val="000000" w:themeColor="text1"/>
      </w:rPr>
      <w:fldChar w:fldCharType="begin"/>
    </w:r>
    <w:r w:rsidRPr="00867320">
      <w:rPr>
        <w:color w:val="000000" w:themeColor="text1"/>
      </w:rPr>
      <w:instrText xml:space="preserve"> PAGE  \* Arabic  \* MERGEFORMAT </w:instrText>
    </w:r>
    <w:r w:rsidRPr="00867320">
      <w:rPr>
        <w:color w:val="000000" w:themeColor="text1"/>
      </w:rPr>
      <w:fldChar w:fldCharType="separate"/>
    </w:r>
    <w:r w:rsidRPr="00867320">
      <w:rPr>
        <w:noProof/>
        <w:color w:val="000000" w:themeColor="text1"/>
      </w:rPr>
      <w:t>2</w:t>
    </w:r>
    <w:r w:rsidRPr="00867320">
      <w:rPr>
        <w:color w:val="000000" w:themeColor="text1"/>
      </w:rPr>
      <w:fldChar w:fldCharType="end"/>
    </w:r>
    <w:r w:rsidRPr="00867320">
      <w:rPr>
        <w:color w:val="000000" w:themeColor="text1"/>
      </w:rPr>
      <w:t xml:space="preserve"> of </w:t>
    </w:r>
    <w:r w:rsidRPr="00867320">
      <w:rPr>
        <w:color w:val="000000" w:themeColor="text1"/>
      </w:rPr>
      <w:fldChar w:fldCharType="begin"/>
    </w:r>
    <w:r w:rsidRPr="00867320">
      <w:rPr>
        <w:color w:val="000000" w:themeColor="text1"/>
      </w:rPr>
      <w:instrText xml:space="preserve"> NUMPAGES  \* Arabic  \* MERGEFORMAT </w:instrText>
    </w:r>
    <w:r w:rsidRPr="00867320">
      <w:rPr>
        <w:color w:val="000000" w:themeColor="text1"/>
      </w:rPr>
      <w:fldChar w:fldCharType="separate"/>
    </w:r>
    <w:r w:rsidRPr="00867320">
      <w:rPr>
        <w:noProof/>
        <w:color w:val="000000" w:themeColor="text1"/>
      </w:rPr>
      <w:t>2</w:t>
    </w:r>
    <w:r w:rsidRPr="00867320">
      <w:rPr>
        <w:color w:val="000000" w:themeColor="text1"/>
      </w:rPr>
      <w:fldChar w:fldCharType="end"/>
    </w:r>
  </w:p>
  <w:p w14:paraId="78FBC3CA" w14:textId="49796759" w:rsidR="00A31632" w:rsidRPr="00A31632" w:rsidRDefault="00A31632" w:rsidP="00A31632">
    <w:pPr>
      <w:pStyle w:val="BodyText"/>
      <w:kinsoku w:val="0"/>
      <w:overflowPunct w:val="0"/>
      <w:spacing w:line="223" w:lineRule="exact"/>
      <w:ind w:left="20"/>
      <w:jc w:val="center"/>
      <w:rPr>
        <w:sz w:val="22"/>
        <w:szCs w:val="22"/>
      </w:rPr>
    </w:pPr>
    <w:r w:rsidRPr="00A31632">
      <w:rPr>
        <w:sz w:val="22"/>
        <w:szCs w:val="22"/>
      </w:rPr>
      <w:t>Uncontrolled copy if printed</w:t>
    </w:r>
  </w:p>
  <w:p w14:paraId="39DD5E13" w14:textId="343F1392" w:rsidR="00FF61F8" w:rsidRDefault="00FF61F8">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0552" w14:textId="77777777" w:rsidR="00B67A2E" w:rsidRDefault="00B67A2E">
      <w:r>
        <w:separator/>
      </w:r>
    </w:p>
  </w:footnote>
  <w:footnote w:type="continuationSeparator" w:id="0">
    <w:p w14:paraId="1E19AADB" w14:textId="77777777" w:rsidR="00B67A2E" w:rsidRDefault="00B6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6831" w14:textId="1C430CC1" w:rsidR="000763F3" w:rsidRDefault="00101A49" w:rsidP="000763F3">
    <w:pPr>
      <w:pStyle w:val="BodyText"/>
      <w:kinsoku w:val="0"/>
      <w:overflowPunct w:val="0"/>
      <w:spacing w:line="338" w:lineRule="exact"/>
      <w:ind w:left="4222" w:right="240"/>
      <w:jc w:val="right"/>
      <w:rPr>
        <w:b/>
        <w:bCs/>
        <w:spacing w:val="-2"/>
        <w:sz w:val="32"/>
        <w:szCs w:val="32"/>
      </w:rPr>
    </w:pPr>
    <w:r>
      <w:rPr>
        <w:noProof/>
      </w:rPr>
      <w:drawing>
        <wp:anchor distT="0" distB="0" distL="114300" distR="114300" simplePos="0" relativeHeight="251661824" behindDoc="1" locked="0" layoutInCell="1" allowOverlap="1" wp14:anchorId="0CAB5B10" wp14:editId="1D81EBE2">
          <wp:simplePos x="0" y="0"/>
          <wp:positionH relativeFrom="column">
            <wp:posOffset>165100</wp:posOffset>
          </wp:positionH>
          <wp:positionV relativeFrom="paragraph">
            <wp:posOffset>78105</wp:posOffset>
          </wp:positionV>
          <wp:extent cx="1549400" cy="368300"/>
          <wp:effectExtent l="0" t="0" r="0" b="0"/>
          <wp:wrapTight wrapText="bothSides">
            <wp:wrapPolygon edited="0">
              <wp:start x="266" y="0"/>
              <wp:lineTo x="0" y="1117"/>
              <wp:lineTo x="0" y="20110"/>
              <wp:lineTo x="21246" y="20110"/>
              <wp:lineTo x="21246" y="0"/>
              <wp:lineTo x="266"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3F3">
      <w:rPr>
        <w:b/>
        <w:bCs/>
        <w:sz w:val="32"/>
        <w:szCs w:val="32"/>
      </w:rPr>
      <w:t>Declared Value</w:t>
    </w:r>
    <w:r w:rsidR="000763F3">
      <w:rPr>
        <w:b/>
        <w:bCs/>
        <w:spacing w:val="-39"/>
        <w:sz w:val="32"/>
        <w:szCs w:val="32"/>
      </w:rPr>
      <w:t xml:space="preserve"> </w:t>
    </w:r>
    <w:r w:rsidR="000763F3">
      <w:rPr>
        <w:b/>
        <w:bCs/>
        <w:spacing w:val="-2"/>
        <w:sz w:val="32"/>
        <w:szCs w:val="32"/>
      </w:rPr>
      <w:t>Policy</w:t>
    </w:r>
  </w:p>
  <w:p w14:paraId="174502C9" w14:textId="77777777" w:rsidR="000763F3" w:rsidRDefault="000763F3" w:rsidP="000763F3">
    <w:pPr>
      <w:pStyle w:val="BodyText"/>
      <w:kinsoku w:val="0"/>
      <w:overflowPunct w:val="0"/>
      <w:spacing w:line="286" w:lineRule="exact"/>
      <w:ind w:left="20" w:right="240"/>
      <w:jc w:val="right"/>
    </w:pPr>
    <w:r>
      <w:t>Owner/</w:t>
    </w:r>
    <w:r>
      <w:rPr>
        <w:spacing w:val="-6"/>
      </w:rPr>
      <w:t xml:space="preserve"> </w:t>
    </w:r>
    <w:r>
      <w:t>Department:</w:t>
    </w:r>
    <w:r>
      <w:rPr>
        <w:spacing w:val="-10"/>
      </w:rPr>
      <w:t xml:space="preserve"> </w:t>
    </w:r>
    <w:r>
      <w:rPr>
        <w:spacing w:val="-6"/>
      </w:rPr>
      <w:t>IBU</w:t>
    </w:r>
    <w:r>
      <w:rPr>
        <w:spacing w:val="-17"/>
      </w:rPr>
      <w:t xml:space="preserve"> </w:t>
    </w:r>
    <w:r>
      <w:t>–</w:t>
    </w:r>
    <w:r>
      <w:rPr>
        <w:spacing w:val="-17"/>
      </w:rPr>
      <w:t xml:space="preserve"> </w:t>
    </w:r>
    <w:r>
      <w:rPr>
        <w:spacing w:val="-6"/>
      </w:rPr>
      <w:t>BAH,</w:t>
    </w:r>
    <w:r>
      <w:rPr>
        <w:spacing w:val="-17"/>
      </w:rPr>
      <w:t xml:space="preserve"> </w:t>
    </w:r>
    <w:r>
      <w:t>Operations</w:t>
    </w:r>
    <w:r>
      <w:rPr>
        <w:spacing w:val="-13"/>
      </w:rPr>
      <w:t xml:space="preserve"> </w:t>
    </w:r>
    <w:r>
      <w:t>&amp;</w:t>
    </w:r>
    <w:r>
      <w:rPr>
        <w:spacing w:val="-11"/>
      </w:rPr>
      <w:t xml:space="preserve"> </w:t>
    </w:r>
    <w:r>
      <w:t>SMSA</w:t>
    </w:r>
    <w:r>
      <w:rPr>
        <w:spacing w:val="-6"/>
      </w:rPr>
      <w:t xml:space="preserve"> </w:t>
    </w:r>
    <w:r>
      <w:t>Service</w:t>
    </w:r>
    <w:r>
      <w:rPr>
        <w:spacing w:val="-6"/>
      </w:rPr>
      <w:t xml:space="preserve"> </w:t>
    </w:r>
    <w:r>
      <w:t>Center</w:t>
    </w:r>
    <w:r>
      <w:rPr>
        <w:spacing w:val="-3"/>
      </w:rPr>
      <w:t xml:space="preserve"> </w:t>
    </w:r>
    <w:r>
      <w:t>(SSC)</w:t>
    </w:r>
  </w:p>
  <w:p w14:paraId="1DC19FC7" w14:textId="1E3055C7" w:rsidR="00FF61F8" w:rsidRPr="000763F3" w:rsidRDefault="00FF61F8" w:rsidP="00076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31" w:hanging="360"/>
      </w:pPr>
      <w:rPr>
        <w:rFonts w:ascii="Arial" w:hAnsi="Arial"/>
        <w:b w:val="0"/>
        <w:w w:val="129"/>
        <w:sz w:val="24"/>
      </w:rPr>
    </w:lvl>
    <w:lvl w:ilvl="1">
      <w:numFmt w:val="bullet"/>
      <w:lvlText w:val="•"/>
      <w:lvlJc w:val="left"/>
      <w:pPr>
        <w:ind w:left="1709" w:hanging="360"/>
      </w:pPr>
    </w:lvl>
    <w:lvl w:ilvl="2">
      <w:numFmt w:val="bullet"/>
      <w:lvlText w:val="•"/>
      <w:lvlJc w:val="left"/>
      <w:pPr>
        <w:ind w:left="2478" w:hanging="360"/>
      </w:pPr>
    </w:lvl>
    <w:lvl w:ilvl="3">
      <w:numFmt w:val="bullet"/>
      <w:lvlText w:val="•"/>
      <w:lvlJc w:val="left"/>
      <w:pPr>
        <w:ind w:left="3247" w:hanging="360"/>
      </w:pPr>
    </w:lvl>
    <w:lvl w:ilvl="4">
      <w:numFmt w:val="bullet"/>
      <w:lvlText w:val="•"/>
      <w:lvlJc w:val="left"/>
      <w:pPr>
        <w:ind w:left="4016" w:hanging="360"/>
      </w:pPr>
    </w:lvl>
    <w:lvl w:ilvl="5">
      <w:numFmt w:val="bullet"/>
      <w:lvlText w:val="•"/>
      <w:lvlJc w:val="left"/>
      <w:pPr>
        <w:ind w:left="4785" w:hanging="360"/>
      </w:pPr>
    </w:lvl>
    <w:lvl w:ilvl="6">
      <w:numFmt w:val="bullet"/>
      <w:lvlText w:val="•"/>
      <w:lvlJc w:val="left"/>
      <w:pPr>
        <w:ind w:left="5554" w:hanging="360"/>
      </w:pPr>
    </w:lvl>
    <w:lvl w:ilvl="7">
      <w:numFmt w:val="bullet"/>
      <w:lvlText w:val="•"/>
      <w:lvlJc w:val="left"/>
      <w:pPr>
        <w:ind w:left="6323" w:hanging="360"/>
      </w:pPr>
    </w:lvl>
    <w:lvl w:ilvl="8">
      <w:numFmt w:val="bullet"/>
      <w:lvlText w:val="•"/>
      <w:lvlJc w:val="left"/>
      <w:pPr>
        <w:ind w:left="7092" w:hanging="360"/>
      </w:pPr>
    </w:lvl>
  </w:abstractNum>
  <w:abstractNum w:abstractNumId="1" w15:restartNumberingAfterBreak="0">
    <w:nsid w:val="00000403"/>
    <w:multiLevelType w:val="multilevel"/>
    <w:tmpl w:val="FFFFFFFF"/>
    <w:lvl w:ilvl="0">
      <w:numFmt w:val="bullet"/>
      <w:lvlText w:val=""/>
      <w:lvlJc w:val="left"/>
      <w:pPr>
        <w:ind w:left="2928" w:hanging="360"/>
      </w:pPr>
      <w:rPr>
        <w:rFonts w:ascii="Symbol" w:hAnsi="Symbol"/>
        <w:b w:val="0"/>
        <w:w w:val="100"/>
        <w:sz w:val="24"/>
      </w:rPr>
    </w:lvl>
    <w:lvl w:ilvl="1">
      <w:numFmt w:val="bullet"/>
      <w:lvlText w:val="•"/>
      <w:lvlJc w:val="left"/>
      <w:pPr>
        <w:ind w:left="3714" w:hanging="360"/>
      </w:pPr>
    </w:lvl>
    <w:lvl w:ilvl="2">
      <w:numFmt w:val="bullet"/>
      <w:lvlText w:val="•"/>
      <w:lvlJc w:val="left"/>
      <w:pPr>
        <w:ind w:left="4508" w:hanging="360"/>
      </w:pPr>
    </w:lvl>
    <w:lvl w:ilvl="3">
      <w:numFmt w:val="bullet"/>
      <w:lvlText w:val="•"/>
      <w:lvlJc w:val="left"/>
      <w:pPr>
        <w:ind w:left="5302" w:hanging="360"/>
      </w:pPr>
    </w:lvl>
    <w:lvl w:ilvl="4">
      <w:numFmt w:val="bullet"/>
      <w:lvlText w:val="•"/>
      <w:lvlJc w:val="left"/>
      <w:pPr>
        <w:ind w:left="6096" w:hanging="360"/>
      </w:pPr>
    </w:lvl>
    <w:lvl w:ilvl="5">
      <w:numFmt w:val="bullet"/>
      <w:lvlText w:val="•"/>
      <w:lvlJc w:val="left"/>
      <w:pPr>
        <w:ind w:left="6890" w:hanging="360"/>
      </w:pPr>
    </w:lvl>
    <w:lvl w:ilvl="6">
      <w:numFmt w:val="bullet"/>
      <w:lvlText w:val="•"/>
      <w:lvlJc w:val="left"/>
      <w:pPr>
        <w:ind w:left="7684" w:hanging="360"/>
      </w:pPr>
    </w:lvl>
    <w:lvl w:ilvl="7">
      <w:numFmt w:val="bullet"/>
      <w:lvlText w:val="•"/>
      <w:lvlJc w:val="left"/>
      <w:pPr>
        <w:ind w:left="8478" w:hanging="360"/>
      </w:pPr>
    </w:lvl>
    <w:lvl w:ilvl="8">
      <w:numFmt w:val="bullet"/>
      <w:lvlText w:val="•"/>
      <w:lvlJc w:val="left"/>
      <w:pPr>
        <w:ind w:left="9272" w:hanging="360"/>
      </w:pPr>
    </w:lvl>
  </w:abstractNum>
  <w:abstractNum w:abstractNumId="2" w15:restartNumberingAfterBreak="0">
    <w:nsid w:val="00000404"/>
    <w:multiLevelType w:val="multilevel"/>
    <w:tmpl w:val="FFFFFFFF"/>
    <w:lvl w:ilvl="0">
      <w:numFmt w:val="bullet"/>
      <w:lvlText w:val=""/>
      <w:lvlJc w:val="left"/>
      <w:pPr>
        <w:ind w:left="360" w:hanging="360"/>
      </w:pPr>
      <w:rPr>
        <w:rFonts w:ascii="Symbol" w:hAnsi="Symbol"/>
        <w:b w:val="0"/>
        <w:w w:val="100"/>
        <w:sz w:val="24"/>
      </w:rPr>
    </w:lvl>
    <w:lvl w:ilvl="1">
      <w:numFmt w:val="bullet"/>
      <w:lvlText w:val="•"/>
      <w:lvlJc w:val="left"/>
      <w:pPr>
        <w:ind w:left="1125" w:hanging="360"/>
      </w:pPr>
    </w:lvl>
    <w:lvl w:ilvl="2">
      <w:numFmt w:val="bullet"/>
      <w:lvlText w:val="•"/>
      <w:lvlJc w:val="left"/>
      <w:pPr>
        <w:ind w:left="1890" w:hanging="360"/>
      </w:pPr>
    </w:lvl>
    <w:lvl w:ilvl="3">
      <w:numFmt w:val="bullet"/>
      <w:lvlText w:val="•"/>
      <w:lvlJc w:val="left"/>
      <w:pPr>
        <w:ind w:left="2656" w:hanging="360"/>
      </w:pPr>
    </w:lvl>
    <w:lvl w:ilvl="4">
      <w:numFmt w:val="bullet"/>
      <w:lvlText w:val="•"/>
      <w:lvlJc w:val="left"/>
      <w:pPr>
        <w:ind w:left="3421" w:hanging="360"/>
      </w:pPr>
    </w:lvl>
    <w:lvl w:ilvl="5">
      <w:numFmt w:val="bullet"/>
      <w:lvlText w:val="•"/>
      <w:lvlJc w:val="left"/>
      <w:pPr>
        <w:ind w:left="4186" w:hanging="360"/>
      </w:pPr>
    </w:lvl>
    <w:lvl w:ilvl="6">
      <w:numFmt w:val="bullet"/>
      <w:lvlText w:val="•"/>
      <w:lvlJc w:val="left"/>
      <w:pPr>
        <w:ind w:left="4952" w:hanging="360"/>
      </w:pPr>
    </w:lvl>
    <w:lvl w:ilvl="7">
      <w:numFmt w:val="bullet"/>
      <w:lvlText w:val="•"/>
      <w:lvlJc w:val="left"/>
      <w:pPr>
        <w:ind w:left="5717" w:hanging="360"/>
      </w:pPr>
    </w:lvl>
    <w:lvl w:ilvl="8">
      <w:numFmt w:val="bullet"/>
      <w:lvlText w:val="•"/>
      <w:lvlJc w:val="left"/>
      <w:pPr>
        <w:ind w:left="6482" w:hanging="360"/>
      </w:pPr>
    </w:lvl>
  </w:abstractNum>
  <w:num w:numId="1" w16cid:durableId="2049060931">
    <w:abstractNumId w:val="2"/>
  </w:num>
  <w:num w:numId="2" w16cid:durableId="607081392">
    <w:abstractNumId w:val="1"/>
  </w:num>
  <w:num w:numId="3" w16cid:durableId="161173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3"/>
    <w:rsid w:val="000763F3"/>
    <w:rsid w:val="00101A49"/>
    <w:rsid w:val="00252960"/>
    <w:rsid w:val="002E7104"/>
    <w:rsid w:val="004132BD"/>
    <w:rsid w:val="0054368B"/>
    <w:rsid w:val="0054418E"/>
    <w:rsid w:val="00827353"/>
    <w:rsid w:val="00867320"/>
    <w:rsid w:val="00973143"/>
    <w:rsid w:val="00A31632"/>
    <w:rsid w:val="00B2551E"/>
    <w:rsid w:val="00B67A2E"/>
    <w:rsid w:val="00C4209C"/>
    <w:rsid w:val="00D608E1"/>
    <w:rsid w:val="00D653DC"/>
    <w:rsid w:val="00FF6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DA4472"/>
  <w14:defaultImageDpi w14:val="0"/>
  <w15:docId w15:val="{C47A5074-5224-4938-A9C2-55A51459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418E"/>
    <w:pPr>
      <w:widowControl w:val="0"/>
      <w:autoSpaceDE w:val="0"/>
      <w:autoSpaceDN w:val="0"/>
      <w:adjustRightInd w:val="0"/>
      <w:spacing w:after="0" w:line="240" w:lineRule="auto"/>
    </w:pPr>
    <w:rPr>
      <w:rFonts w:ascii="Calibri" w:hAnsi="Calibri" w:cs="Calibri"/>
      <w:kern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Calibri" w:hAnsi="Calibri" w:cs="Calibri"/>
      <w:kern w:val="0"/>
    </w:rPr>
  </w:style>
  <w:style w:type="paragraph" w:styleId="ListParagraph">
    <w:name w:val="List Paragraph"/>
    <w:basedOn w:val="Normal"/>
    <w:uiPriority w:val="1"/>
    <w:qFormat/>
    <w:pPr>
      <w:spacing w:line="305" w:lineRule="exact"/>
      <w:ind w:left="2928" w:hanging="361"/>
      <w:jc w:val="both"/>
    </w:pPr>
    <w:rPr>
      <w:sz w:val="24"/>
      <w:szCs w:val="24"/>
    </w:rPr>
  </w:style>
  <w:style w:type="paragraph" w:customStyle="1" w:styleId="TableParagraph">
    <w:name w:val="Table Paragraph"/>
    <w:basedOn w:val="Normal"/>
    <w:uiPriority w:val="1"/>
    <w:qFormat/>
    <w:pPr>
      <w:ind w:left="105"/>
    </w:pPr>
    <w:rPr>
      <w:sz w:val="24"/>
      <w:szCs w:val="24"/>
    </w:rPr>
  </w:style>
  <w:style w:type="paragraph" w:styleId="Header">
    <w:name w:val="header"/>
    <w:basedOn w:val="Normal"/>
    <w:link w:val="HeaderChar"/>
    <w:uiPriority w:val="99"/>
    <w:unhideWhenUsed/>
    <w:rsid w:val="00D608E1"/>
    <w:pPr>
      <w:tabs>
        <w:tab w:val="center" w:pos="4513"/>
        <w:tab w:val="right" w:pos="9026"/>
      </w:tabs>
    </w:pPr>
  </w:style>
  <w:style w:type="character" w:customStyle="1" w:styleId="HeaderChar">
    <w:name w:val="Header Char"/>
    <w:basedOn w:val="DefaultParagraphFont"/>
    <w:link w:val="Header"/>
    <w:uiPriority w:val="99"/>
    <w:rsid w:val="00D608E1"/>
    <w:rPr>
      <w:rFonts w:ascii="Calibri" w:hAnsi="Calibri" w:cs="Calibri"/>
      <w:kern w:val="0"/>
    </w:rPr>
  </w:style>
  <w:style w:type="paragraph" w:styleId="Footer">
    <w:name w:val="footer"/>
    <w:basedOn w:val="Normal"/>
    <w:link w:val="FooterChar"/>
    <w:uiPriority w:val="99"/>
    <w:unhideWhenUsed/>
    <w:rsid w:val="00D608E1"/>
    <w:pPr>
      <w:tabs>
        <w:tab w:val="center" w:pos="4513"/>
        <w:tab w:val="right" w:pos="9026"/>
      </w:tabs>
    </w:pPr>
  </w:style>
  <w:style w:type="character" w:customStyle="1" w:styleId="FooterChar">
    <w:name w:val="Footer Char"/>
    <w:basedOn w:val="DefaultParagraphFont"/>
    <w:link w:val="Footer"/>
    <w:uiPriority w:val="99"/>
    <w:rsid w:val="00D608E1"/>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31294-DDB5-4242-A386-BC5CE583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dc:description/>
  <cp:lastModifiedBy>Edwin Ramos</cp:lastModifiedBy>
  <cp:revision>3</cp:revision>
  <dcterms:created xsi:type="dcterms:W3CDTF">2025-09-09T08:56:00Z</dcterms:created>
  <dcterms:modified xsi:type="dcterms:W3CDTF">2025-09-09T09:13:00Z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