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6"/>
        <w:gridCol w:w="8414"/>
      </w:tblGrid>
      <w:tr w:rsidR="003050B7" w:rsidRPr="00C47958" w14:paraId="2BDC4B54" w14:textId="77777777" w:rsidTr="00980C86">
        <w:tc>
          <w:tcPr>
            <w:tcW w:w="1944" w:type="dxa"/>
            <w:tcMar>
              <w:top w:w="100" w:type="dxa"/>
              <w:left w:w="90" w:type="dxa"/>
              <w:bottom w:w="90" w:type="dxa"/>
              <w:right w:w="90" w:type="dxa"/>
            </w:tcMar>
          </w:tcPr>
          <w:p w14:paraId="7F586BFD" w14:textId="77777777" w:rsidR="0008048F" w:rsidRDefault="00000000">
            <w:r>
              <w:rPr>
                <w:b/>
              </w:rPr>
              <w:t>Purpose</w:t>
            </w:r>
          </w:p>
        </w:tc>
        <w:tc>
          <w:tcPr>
            <w:tcW w:w="7416" w:type="dxa"/>
            <w:tcMar>
              <w:top w:w="100" w:type="dxa"/>
              <w:left w:w="120" w:type="dxa"/>
              <w:bottom w:w="100" w:type="dxa"/>
              <w:right w:w="120" w:type="dxa"/>
            </w:tcMar>
          </w:tcPr>
          <w:p w14:paraId="7E33D16D" w14:textId="77777777" w:rsidR="0008048F" w:rsidRDefault="00000000">
            <w:pPr>
              <w:spacing w:after="0"/>
            </w:pPr>
            <w:r>
              <w:t>The purpose of this policy is to make sure that changes involving employees, roles, reporting lines and authority are controlled and clearly communicated. When a person leaves, moves, is absent, is promoted or takes temporary responsibility, SMSA must know who owns the work, who employees report to, what authority applies and when the change takes effect.</w:t>
            </w:r>
          </w:p>
          <w:p w14:paraId="24F64101" w14:textId="77777777" w:rsidR="0008048F" w:rsidRDefault="00000000">
            <w:pPr>
              <w:spacing w:before="80" w:after="0"/>
            </w:pPr>
            <w:r>
              <w:t>The policy prevents unclear areas, assumed roles, unofficial titles and informal employee movements. It also protects business continuity so that a transition does not leave important work without an owner or place an unreasonable workload on the remaining team.</w:t>
            </w:r>
          </w:p>
          <w:p w14:paraId="16288753" w14:textId="77777777" w:rsidR="0008048F" w:rsidRDefault="00000000">
            <w:pPr>
              <w:spacing w:before="80" w:after="0"/>
            </w:pPr>
            <w:r>
              <w:t>This policy is intended to be practical and proportionate. It works together with the current approved SMSA Delegation of Authority (DOA), approved organization structure, Job Description Policy, HR transfer and on/offboarding processes, Risk Management Policy, Incident and Investigation Procedure, Access Control and Asset Management requirements, and the mandatory labour and employment law of the country where the employee is employed.</w:t>
            </w:r>
          </w:p>
        </w:tc>
      </w:tr>
      <w:tr w:rsidR="003050B7" w:rsidRPr="00C47958" w14:paraId="6C4ABC01" w14:textId="77777777" w:rsidTr="00980C86">
        <w:tc>
          <w:tcPr>
            <w:tcW w:w="1944" w:type="dxa"/>
            <w:tcMar>
              <w:top w:w="100" w:type="dxa"/>
              <w:left w:w="90" w:type="dxa"/>
              <w:bottom w:w="90" w:type="dxa"/>
              <w:right w:w="90" w:type="dxa"/>
            </w:tcMar>
          </w:tcPr>
          <w:p w14:paraId="3D4296A1" w14:textId="77777777" w:rsidR="0008048F" w:rsidRDefault="00000000">
            <w:r>
              <w:rPr>
                <w:b/>
              </w:rPr>
              <w:t>Scope</w:t>
            </w:r>
          </w:p>
        </w:tc>
        <w:tc>
          <w:tcPr>
            <w:tcW w:w="7416" w:type="dxa"/>
            <w:tcMar>
              <w:top w:w="100" w:type="dxa"/>
              <w:left w:w="120" w:type="dxa"/>
              <w:bottom w:w="100" w:type="dxa"/>
              <w:right w:w="120" w:type="dxa"/>
            </w:tcMar>
          </w:tcPr>
          <w:p w14:paraId="3E997269" w14:textId="77777777" w:rsidR="0008048F" w:rsidRDefault="00000000">
            <w:pPr>
              <w:spacing w:after="0"/>
            </w:pPr>
            <w:r>
              <w:t>This policy applies across SMSA countries, legal entities, regions, departments and locations where a people or role change affects responsibilities, reporting lines, authority, access, handover or business continuity.</w:t>
            </w:r>
          </w:p>
          <w:p w14:paraId="1FC6EA68" w14:textId="77777777" w:rsidR="0008048F" w:rsidRDefault="00000000">
            <w:pPr>
              <w:spacing w:before="60" w:after="0"/>
            </w:pPr>
            <w:r>
              <w:t>It covers planned and unplanned changes, including:</w:t>
            </w:r>
          </w:p>
          <w:p w14:paraId="2D1B5D77" w14:textId="77777777" w:rsidR="0008048F" w:rsidRDefault="00000000">
            <w:pPr>
              <w:pStyle w:val="ListParagraph"/>
              <w:numPr>
                <w:ilvl w:val="0"/>
                <w:numId w:val="14"/>
              </w:numPr>
              <w:spacing w:after="0"/>
            </w:pPr>
            <w:r>
              <w:t>resignation, termination, suspension, retirement, end of contract or other approved separation;</w:t>
            </w:r>
          </w:p>
          <w:p w14:paraId="0DDD753A" w14:textId="77777777" w:rsidR="0008048F" w:rsidRDefault="00000000">
            <w:pPr>
              <w:pStyle w:val="ListParagraph"/>
              <w:numPr>
                <w:ilvl w:val="0"/>
                <w:numId w:val="14"/>
              </w:numPr>
              <w:spacing w:after="0"/>
            </w:pPr>
            <w:r>
              <w:t>promotion, transfer, reassignment, change of reporting line or movement to another department or location;</w:t>
            </w:r>
          </w:p>
          <w:p w14:paraId="03E6E121" w14:textId="77777777" w:rsidR="0008048F" w:rsidRDefault="00000000">
            <w:pPr>
              <w:pStyle w:val="ListParagraph"/>
              <w:numPr>
                <w:ilvl w:val="0"/>
                <w:numId w:val="14"/>
              </w:numPr>
              <w:spacing w:after="0"/>
            </w:pPr>
            <w:r>
              <w:t>acting, interim or temporary assignment, and planned or unplanned absence requiring temporary cover;</w:t>
            </w:r>
          </w:p>
          <w:p w14:paraId="4B576529" w14:textId="77777777" w:rsidR="0008048F" w:rsidRDefault="00000000">
            <w:pPr>
              <w:pStyle w:val="ListParagraph"/>
              <w:numPr>
                <w:ilvl w:val="0"/>
                <w:numId w:val="14"/>
              </w:numPr>
              <w:spacing w:after="0"/>
            </w:pPr>
            <w:r>
              <w:t>organization restructuring, merger, split, closure or movement of responsibilities; and</w:t>
            </w:r>
          </w:p>
          <w:p w14:paraId="72D0BC3E" w14:textId="77777777" w:rsidR="0008048F" w:rsidRDefault="00000000">
            <w:pPr>
              <w:pStyle w:val="ListParagraph"/>
              <w:numPr>
                <w:ilvl w:val="0"/>
                <w:numId w:val="14"/>
              </w:numPr>
              <w:spacing w:after="0"/>
            </w:pPr>
            <w:r>
              <w:t>management, supervisory, project or other key roles where the change may affect people, customers, finance, contracts, systems, regulation, safety, security, risk or operations.</w:t>
            </w:r>
          </w:p>
          <w:p w14:paraId="4CD29B5F" w14:textId="040EEE57" w:rsidR="0008048F" w:rsidRDefault="00000000">
            <w:pPr>
              <w:spacing w:before="60" w:after="0"/>
            </w:pPr>
            <w:r>
              <w:t xml:space="preserve">Normal career discussions, recruitment and internal applications remain governed by the approved HR process. This policy adds transition and continuity controls where an employee movement is connected with a Personnel Transition or could </w:t>
            </w:r>
            <w:r w:rsidR="00027CD1">
              <w:t>significantly</w:t>
            </w:r>
            <w:r>
              <w:t xml:space="preserve"> affect the releasing or receiving function.</w:t>
            </w:r>
          </w:p>
          <w:p w14:paraId="469F674C" w14:textId="270E3777" w:rsidR="0008048F" w:rsidRDefault="00000000">
            <w:pPr>
              <w:spacing w:before="60" w:after="0"/>
            </w:pPr>
            <w:r>
              <w:t>For outsourced employees, this policy applies only to SMSA</w:t>
            </w:r>
            <w:r w:rsidR="005F39BD">
              <w:t xml:space="preserve"> </w:t>
            </w:r>
            <w:r>
              <w:t>controlled handover, access, assets, work allocation and continuity. The labour provider remains responsible for its employment obligations. Board and Board Committee matters are covered only for transition, handover, records, access and communication; appointment, removal and statutory authority remain governed by the applicable corporate governance documents.</w:t>
            </w:r>
          </w:p>
        </w:tc>
      </w:tr>
      <w:tr w:rsidR="003050B7" w:rsidRPr="00C47958" w14:paraId="5096509F" w14:textId="77777777" w:rsidTr="00980C86">
        <w:tc>
          <w:tcPr>
            <w:tcW w:w="1944" w:type="dxa"/>
            <w:tcMar>
              <w:top w:w="100" w:type="dxa"/>
              <w:left w:w="90" w:type="dxa"/>
              <w:bottom w:w="90" w:type="dxa"/>
              <w:right w:w="90" w:type="dxa"/>
            </w:tcMar>
          </w:tcPr>
          <w:p w14:paraId="0A1B53B3" w14:textId="77777777" w:rsidR="0008048F" w:rsidRDefault="00000000">
            <w:r>
              <w:rPr>
                <w:b/>
              </w:rPr>
              <w:t>Responsibilities</w:t>
            </w:r>
          </w:p>
        </w:tc>
        <w:tc>
          <w:tcPr>
            <w:tcW w:w="7416" w:type="dxa"/>
            <w:tcMar>
              <w:top w:w="100" w:type="dxa"/>
              <w:left w:w="120" w:type="dxa"/>
              <w:bottom w:w="100" w:type="dxa"/>
              <w:right w:w="120" w:type="dxa"/>
            </w:tcMar>
          </w:tcPr>
          <w:p w14:paraId="5566ABB4" w14:textId="77777777" w:rsidR="0008048F" w:rsidRDefault="00000000">
            <w:pPr>
              <w:spacing w:after="0"/>
            </w:pPr>
            <w:r>
              <w:rPr>
                <w:b/>
              </w:rPr>
              <w:t xml:space="preserve">HRD: </w:t>
            </w:r>
            <w:r>
              <w:t>owns this policy and the employee transition process. HRD confirms that the role, title, reporting line and effective date have the required approvals; updates HR records; maintains transition records; and monitors employee movements and capacity risks linked to Key Transitions.</w:t>
            </w:r>
          </w:p>
          <w:p w14:paraId="5ED602A3" w14:textId="77777777" w:rsidR="0008048F" w:rsidRDefault="00000000">
            <w:pPr>
              <w:spacing w:before="80" w:after="0"/>
            </w:pPr>
            <w:r>
              <w:rPr>
                <w:b/>
              </w:rPr>
              <w:lastRenderedPageBreak/>
              <w:t xml:space="preserve">Relevant C Suite / Department / Regional Head / Direct Manager: </w:t>
            </w:r>
            <w:r>
              <w:t>owns business continuity for the affected area. Management assigns temporary operational cover where needed, makes sure required handovers are completed, identifies the owner of work after the change and ensures that employee movements do not leave the function without sufficient capability or reasonable capacity.</w:t>
            </w:r>
          </w:p>
          <w:p w14:paraId="533016C8" w14:textId="77777777" w:rsidR="0008048F" w:rsidRDefault="00000000">
            <w:pPr>
              <w:spacing w:before="80" w:after="0"/>
            </w:pPr>
            <w:r>
              <w:rPr>
                <w:b/>
              </w:rPr>
              <w:t xml:space="preserve">Outgoing Role Holder: </w:t>
            </w:r>
            <w:r>
              <w:t>provides an accurate handover, identifies open matters and protects company records and information up to the approved effective date.</w:t>
            </w:r>
          </w:p>
          <w:p w14:paraId="76E6E240" w14:textId="77777777" w:rsidR="0008048F" w:rsidRDefault="00000000">
            <w:pPr>
              <w:spacing w:before="80" w:after="0"/>
            </w:pPr>
            <w:r>
              <w:rPr>
                <w:b/>
              </w:rPr>
              <w:t xml:space="preserve">Incoming / Acting / Interim Role Holder: </w:t>
            </w:r>
            <w:r>
              <w:t>reviews and accepts the handover, performs the duties formally assigned and uses only the authority formally held under the current DOA or a separately approved written delegation.</w:t>
            </w:r>
          </w:p>
          <w:p w14:paraId="1282AB29" w14:textId="77777777" w:rsidR="0008048F" w:rsidRDefault="00000000">
            <w:pPr>
              <w:spacing w:before="80" w:after="0"/>
            </w:pPr>
            <w:r>
              <w:rPr>
                <w:b/>
              </w:rPr>
              <w:t xml:space="preserve">Information Technology Department (ITD): </w:t>
            </w:r>
            <w:r>
              <w:t>updates or removes system and technology access, reviews sensitive access and manages IT assets and technical access evidence following the approved change.</w:t>
            </w:r>
          </w:p>
          <w:p w14:paraId="39ED0BC0" w14:textId="34580D32" w:rsidR="0008048F" w:rsidRDefault="00000000">
            <w:pPr>
              <w:spacing w:before="80" w:after="0"/>
            </w:pPr>
            <w:r>
              <w:rPr>
                <w:b/>
              </w:rPr>
              <w:t xml:space="preserve">Finance: </w:t>
            </w:r>
            <w:r>
              <w:t>updates financial approval, payment, signatory and cost</w:t>
            </w:r>
            <w:r w:rsidR="005F39BD">
              <w:t xml:space="preserve"> </w:t>
            </w:r>
            <w:proofErr w:type="spellStart"/>
            <w:r>
              <w:t>centre</w:t>
            </w:r>
            <w:proofErr w:type="spellEnd"/>
            <w:r>
              <w:t xml:space="preserve"> controls where required and confirms open financial responsibilities in Key Transitions.</w:t>
            </w:r>
          </w:p>
          <w:p w14:paraId="55E8A602" w14:textId="77777777" w:rsidR="0008048F" w:rsidRDefault="00000000">
            <w:pPr>
              <w:spacing w:before="80" w:after="0"/>
            </w:pPr>
            <w:r>
              <w:rPr>
                <w:b/>
              </w:rPr>
              <w:t xml:space="preserve">Corporate Governance / Board Secretariat and Legal: </w:t>
            </w:r>
            <w:r>
              <w:t>supports matters involving corporate approvals, contracts, employment law, regulatory requirements, signatory authority, powers of attorney, disputes or other legal exposure, as relevant.</w:t>
            </w:r>
          </w:p>
          <w:p w14:paraId="59356BB9" w14:textId="4305B301" w:rsidR="0008048F" w:rsidRDefault="00000000">
            <w:pPr>
              <w:spacing w:before="80" w:after="0"/>
            </w:pPr>
            <w:r>
              <w:rPr>
                <w:b/>
              </w:rPr>
              <w:t xml:space="preserve">Quality &amp; Risk Management (QRM): </w:t>
            </w:r>
            <w:r>
              <w:t>provides second</w:t>
            </w:r>
            <w:r w:rsidR="005F39BD">
              <w:t xml:space="preserve"> </w:t>
            </w:r>
            <w:r>
              <w:t xml:space="preserve">line support for </w:t>
            </w:r>
            <w:r w:rsidR="005F39BD">
              <w:t xml:space="preserve">significant </w:t>
            </w:r>
            <w:r>
              <w:t>transition risks and reportable incidents. QRM does not own the HR transition process.</w:t>
            </w:r>
          </w:p>
          <w:p w14:paraId="71727F9B" w14:textId="77777777" w:rsidR="0008048F" w:rsidRDefault="00000000">
            <w:pPr>
              <w:spacing w:before="80" w:after="0"/>
            </w:pPr>
            <w:r>
              <w:rPr>
                <w:b/>
              </w:rPr>
              <w:t xml:space="preserve">Internal Audit: </w:t>
            </w:r>
            <w:r>
              <w:t>may independently review transition controls and evidence. Internal Audit does not manage or approve the transition.</w:t>
            </w:r>
          </w:p>
        </w:tc>
      </w:tr>
      <w:tr w:rsidR="00482EF0" w:rsidRPr="00C47958" w14:paraId="61BA96B8" w14:textId="77777777" w:rsidTr="00980C86">
        <w:tc>
          <w:tcPr>
            <w:tcW w:w="1944" w:type="dxa"/>
            <w:tcMar>
              <w:top w:w="100" w:type="dxa"/>
              <w:left w:w="90" w:type="dxa"/>
              <w:bottom w:w="90" w:type="dxa"/>
              <w:right w:w="90" w:type="dxa"/>
            </w:tcMar>
          </w:tcPr>
          <w:p w14:paraId="319FD295" w14:textId="77777777" w:rsidR="0008048F" w:rsidRDefault="00000000">
            <w:r>
              <w:rPr>
                <w:b/>
              </w:rPr>
              <w:lastRenderedPageBreak/>
              <w:t>Definitions</w:t>
            </w:r>
          </w:p>
        </w:tc>
        <w:tc>
          <w:tcPr>
            <w:tcW w:w="7416" w:type="dxa"/>
            <w:tcMar>
              <w:top w:w="100" w:type="dxa"/>
              <w:left w:w="120" w:type="dxa"/>
              <w:bottom w:w="100" w:type="dxa"/>
              <w:right w:w="120" w:type="dxa"/>
            </w:tcMar>
          </w:tcPr>
          <w:p w14:paraId="5B5E6A68" w14:textId="77777777" w:rsidR="0008048F" w:rsidRDefault="00000000">
            <w:pPr>
              <w:spacing w:after="0"/>
            </w:pPr>
            <w:r>
              <w:rPr>
                <w:b/>
              </w:rPr>
              <w:t xml:space="preserve">Leadership / Personnel Transition: </w:t>
            </w:r>
            <w:r>
              <w:t>a controlled change in role, reporting line, responsibility or authority, including departure, transfer, promotion, temporary cover, absence or restructuring.</w:t>
            </w:r>
          </w:p>
          <w:p w14:paraId="5024EE2C" w14:textId="77777777" w:rsidR="0008048F" w:rsidRDefault="00000000">
            <w:pPr>
              <w:spacing w:before="60" w:after="0"/>
            </w:pPr>
            <w:r>
              <w:rPr>
                <w:b/>
              </w:rPr>
              <w:t xml:space="preserve">Effective Date: </w:t>
            </w:r>
            <w:r>
              <w:t>the approved date from which the new role, reporting line, responsibility or authority takes effect.</w:t>
            </w:r>
          </w:p>
          <w:p w14:paraId="33D1F862" w14:textId="77777777" w:rsidR="0008048F" w:rsidRDefault="00000000">
            <w:pPr>
              <w:spacing w:before="60" w:after="0"/>
            </w:pPr>
            <w:r>
              <w:rPr>
                <w:b/>
              </w:rPr>
              <w:t xml:space="preserve">Acting / Interim Assignment: </w:t>
            </w:r>
            <w:r>
              <w:t>a temporary written assignment to perform defined duties of another role for an approved period. The assignment must be reviewed if it continues beyond 30 days and does not automatically give the employee the permanent title, grade, pay or authority of that role.</w:t>
            </w:r>
          </w:p>
          <w:p w14:paraId="19329EBF" w14:textId="77777777" w:rsidR="0008048F" w:rsidRDefault="00000000">
            <w:pPr>
              <w:spacing w:before="60" w:after="0"/>
            </w:pPr>
            <w:r>
              <w:rPr>
                <w:b/>
              </w:rPr>
              <w:t xml:space="preserve">Handover: </w:t>
            </w:r>
            <w:r>
              <w:t>the documented transfer of duties, decisions, information, records, open actions, risks, people matters, customer matters, assets and access needed for continuity.</w:t>
            </w:r>
          </w:p>
          <w:p w14:paraId="4600C261" w14:textId="77777777" w:rsidR="0008048F" w:rsidRDefault="00000000">
            <w:pPr>
              <w:spacing w:before="60" w:after="0"/>
            </w:pPr>
            <w:r>
              <w:rPr>
                <w:b/>
              </w:rPr>
              <w:t xml:space="preserve">Key Transition: </w:t>
            </w:r>
            <w:r>
              <w:t>a change that may significantly affect customers, operations, people, finance, contracts, regulators, safety, security, systems, information, risk or business continuity.</w:t>
            </w:r>
          </w:p>
          <w:p w14:paraId="262DD789" w14:textId="77777777" w:rsidR="0008048F" w:rsidRDefault="00000000">
            <w:pPr>
              <w:spacing w:before="60" w:after="0"/>
            </w:pPr>
            <w:r>
              <w:rPr>
                <w:b/>
              </w:rPr>
              <w:t xml:space="preserve">Unclear Area / Assumed Role / Authority Gap / Unassigned Responsibility: </w:t>
            </w:r>
            <w:r>
              <w:t>a situation where a role, title, reporting line, task, decision, project, employee, risk, customer obligation or approval is being used or expected in practice but is not clearly supported by the approved organization structure, HR records, written assignment or current DOA, as applicable.</w:t>
            </w:r>
          </w:p>
          <w:p w14:paraId="47B26382" w14:textId="77777777" w:rsidR="0008048F" w:rsidRDefault="00000000">
            <w:pPr>
              <w:spacing w:before="60" w:after="0"/>
            </w:pPr>
            <w:r>
              <w:rPr>
                <w:b/>
              </w:rPr>
              <w:lastRenderedPageBreak/>
              <w:t xml:space="preserve">Delegation of Authority (DOA): </w:t>
            </w:r>
            <w:r>
              <w:t>SMSA's current approved document that defines formal approval, signing and commitment authority. Authority does not automatically move because a role is vacant or because an employee is acting in that role.</w:t>
            </w:r>
          </w:p>
          <w:p w14:paraId="21A049AC" w14:textId="77777777" w:rsidR="0008048F" w:rsidRDefault="00000000">
            <w:pPr>
              <w:spacing w:before="60" w:after="0"/>
            </w:pPr>
            <w:r>
              <w:rPr>
                <w:b/>
              </w:rPr>
              <w:t xml:space="preserve">Employee Movement: </w:t>
            </w:r>
            <w:r>
              <w:t>a transfer, reassignment, change of reporting line, temporary allocation or substantial change in work allocation that moves an employee from one manager, function, department or role to another.</w:t>
            </w:r>
          </w:p>
          <w:p w14:paraId="1D36FDFD" w14:textId="77777777" w:rsidR="0008048F" w:rsidRDefault="00000000">
            <w:pPr>
              <w:spacing w:before="60" w:after="0"/>
            </w:pPr>
            <w:r>
              <w:rPr>
                <w:b/>
              </w:rPr>
              <w:t xml:space="preserve">Team Capacity Risk: </w:t>
            </w:r>
            <w:r>
              <w:t>a situation where departures, transfers, vacancies or temporary allocations leave a function without enough people, competence, experience or reasonable capacity to perform its critical responsibilities.</w:t>
            </w:r>
          </w:p>
        </w:tc>
      </w:tr>
      <w:tr w:rsidR="003050B7" w:rsidRPr="00C47958" w14:paraId="799AC1A4" w14:textId="77777777" w:rsidTr="00980C86">
        <w:tc>
          <w:tcPr>
            <w:tcW w:w="1944" w:type="dxa"/>
            <w:tcMar>
              <w:top w:w="100" w:type="dxa"/>
              <w:left w:w="90" w:type="dxa"/>
              <w:bottom w:w="90" w:type="dxa"/>
              <w:right w:w="90" w:type="dxa"/>
            </w:tcMar>
          </w:tcPr>
          <w:p w14:paraId="4E34F971" w14:textId="77777777" w:rsidR="0008048F" w:rsidRDefault="00000000">
            <w:r>
              <w:rPr>
                <w:b/>
              </w:rPr>
              <w:lastRenderedPageBreak/>
              <w:t>Guidelines</w:t>
            </w:r>
          </w:p>
        </w:tc>
        <w:tc>
          <w:tcPr>
            <w:tcW w:w="7416" w:type="dxa"/>
            <w:tcMar>
              <w:top w:w="100" w:type="dxa"/>
              <w:left w:w="120" w:type="dxa"/>
              <w:bottom w:w="100" w:type="dxa"/>
              <w:right w:w="120" w:type="dxa"/>
            </w:tcMar>
          </w:tcPr>
          <w:p w14:paraId="615253C4" w14:textId="77777777" w:rsidR="0008048F" w:rsidRDefault="00000000">
            <w:pPr>
              <w:spacing w:before="100" w:after="20"/>
            </w:pPr>
            <w:r>
              <w:rPr>
                <w:b/>
              </w:rPr>
              <w:t>1. Core Policy Rules</w:t>
            </w:r>
          </w:p>
          <w:p w14:paraId="2E647FBD" w14:textId="77777777" w:rsidR="0008048F" w:rsidRDefault="00000000">
            <w:pPr>
              <w:pStyle w:val="ListParagraph"/>
              <w:numPr>
                <w:ilvl w:val="0"/>
                <w:numId w:val="14"/>
              </w:numPr>
              <w:spacing w:after="0"/>
            </w:pPr>
            <w:r>
              <w:t>Every transition must have an approved effective date, a clear reporting line and a named owner for the responsibilities affected by the change.</w:t>
            </w:r>
          </w:p>
          <w:p w14:paraId="608540F6" w14:textId="20A60968" w:rsidR="0008048F" w:rsidRDefault="00000000">
            <w:pPr>
              <w:pStyle w:val="ListParagraph"/>
              <w:numPr>
                <w:ilvl w:val="0"/>
                <w:numId w:val="14"/>
              </w:numPr>
              <w:spacing w:after="0"/>
            </w:pPr>
            <w:r>
              <w:t>Role, title, reporting</w:t>
            </w:r>
            <w:r w:rsidR="005F39BD">
              <w:t xml:space="preserve"> </w:t>
            </w:r>
            <w:r>
              <w:t>line and employee</w:t>
            </w:r>
            <w:r w:rsidR="005F39BD">
              <w:t xml:space="preserve"> </w:t>
            </w:r>
            <w:r>
              <w:t>movement changes must follow the approved HR and management process. A verbal instruction, email, WhatsApp message, meeting discussion or informal understanding does not by itself create an approved change.</w:t>
            </w:r>
          </w:p>
          <w:p w14:paraId="731A0C42" w14:textId="77777777" w:rsidR="0008048F" w:rsidRDefault="00000000">
            <w:pPr>
              <w:pStyle w:val="ListParagraph"/>
              <w:numPr>
                <w:ilvl w:val="0"/>
                <w:numId w:val="14"/>
              </w:numPr>
              <w:spacing w:after="0"/>
            </w:pPr>
            <w:r>
              <w:t>Only roles and titles that are formally approved and reflected in SMSA records may be used. Performing some duties of another role does not create that role or title.</w:t>
            </w:r>
          </w:p>
          <w:p w14:paraId="49553996" w14:textId="77777777" w:rsidR="0008048F" w:rsidRDefault="00000000">
            <w:pPr>
              <w:pStyle w:val="ListParagraph"/>
              <w:numPr>
                <w:ilvl w:val="0"/>
                <w:numId w:val="14"/>
              </w:numPr>
              <w:spacing w:after="0"/>
            </w:pPr>
            <w:r>
              <w:t>Formal approval, signing, spending and commitment authority is governed by the current DOA. A vacancy, acting assignment or temporary work allocation does not automatically transfer authority.</w:t>
            </w:r>
          </w:p>
          <w:p w14:paraId="658F01D6" w14:textId="77777777" w:rsidR="0008048F" w:rsidRDefault="00000000">
            <w:pPr>
              <w:pStyle w:val="ListParagraph"/>
              <w:numPr>
                <w:ilvl w:val="0"/>
                <w:numId w:val="14"/>
              </w:numPr>
              <w:spacing w:after="0"/>
            </w:pPr>
            <w:r>
              <w:t>Employees remain in their approved role, department and reporting line until an approved change becomes effective.</w:t>
            </w:r>
          </w:p>
          <w:p w14:paraId="3A46607C" w14:textId="15C7E50E" w:rsidR="0008048F" w:rsidRDefault="00000000">
            <w:pPr>
              <w:pStyle w:val="ListParagraph"/>
              <w:numPr>
                <w:ilvl w:val="0"/>
                <w:numId w:val="14"/>
              </w:numPr>
              <w:spacing w:after="0"/>
            </w:pPr>
            <w:r>
              <w:t>The level of control must match the risk of the transition. Key Transitions require enhanced handover, continuity and follow</w:t>
            </w:r>
            <w:r w:rsidR="005F39BD">
              <w:t xml:space="preserve"> </w:t>
            </w:r>
            <w:r>
              <w:t>up controls.</w:t>
            </w:r>
          </w:p>
          <w:p w14:paraId="38F0448C" w14:textId="77777777" w:rsidR="0008048F" w:rsidRDefault="00000000">
            <w:pPr>
              <w:spacing w:before="100" w:after="20"/>
            </w:pPr>
            <w:r>
              <w:rPr>
                <w:b/>
              </w:rPr>
              <w:t>2. Notification and Start of Transition</w:t>
            </w:r>
          </w:p>
          <w:p w14:paraId="74827DFB" w14:textId="77777777" w:rsidR="0008048F" w:rsidRDefault="00000000">
            <w:pPr>
              <w:pStyle w:val="ListParagraph"/>
              <w:numPr>
                <w:ilvl w:val="0"/>
                <w:numId w:val="14"/>
              </w:numPr>
              <w:spacing w:after="0"/>
            </w:pPr>
            <w:r>
              <w:t>HR must be informed as soon as a planned or approved transition is known and normally no later than one working day after the change is approved or formally received. For an emergency or sudden absence, the direct manager must inform HR as soon as practicable.</w:t>
            </w:r>
          </w:p>
          <w:p w14:paraId="4D27FF31" w14:textId="77777777" w:rsidR="0008048F" w:rsidRDefault="00000000">
            <w:pPr>
              <w:pStyle w:val="ListParagraph"/>
              <w:numPr>
                <w:ilvl w:val="0"/>
                <w:numId w:val="14"/>
              </w:numPr>
              <w:spacing w:after="0"/>
            </w:pPr>
            <w:r>
              <w:t>For a sensitive or involuntary separation, HR and Legal control the timing, confidentiality and communication route. This policy does not require early disclosure of a confidential employment decision.</w:t>
            </w:r>
          </w:p>
          <w:p w14:paraId="1275E221" w14:textId="77777777" w:rsidR="0008048F" w:rsidRDefault="00000000">
            <w:pPr>
              <w:pStyle w:val="ListParagraph"/>
              <w:numPr>
                <w:ilvl w:val="0"/>
                <w:numId w:val="14"/>
              </w:numPr>
              <w:spacing w:after="0"/>
            </w:pPr>
            <w:r>
              <w:t>The transition record must identify the affected employee and role, reason for the change, planned effective date, reporting line, temporary cover where needed, handover and access requirements, and any immediate customer, employee, financial, legal, regulatory, safety, system or continuity issue.</w:t>
            </w:r>
          </w:p>
          <w:p w14:paraId="4F70D1F8" w14:textId="7A1A7455" w:rsidR="0008048F" w:rsidRDefault="00000000">
            <w:pPr>
              <w:pStyle w:val="ListParagraph"/>
              <w:numPr>
                <w:ilvl w:val="0"/>
                <w:numId w:val="14"/>
              </w:numPr>
              <w:spacing w:after="0"/>
            </w:pPr>
            <w:r>
              <w:t>For a Key Transition, HR and management must also identify the main continuity risks, including critical work, current staffing and vacancies, known employee movements, key</w:t>
            </w:r>
            <w:r w:rsidR="005F39BD">
              <w:t xml:space="preserve"> </w:t>
            </w:r>
            <w:r>
              <w:t>person dependencies, workload and any immediate replacement or temporary</w:t>
            </w:r>
            <w:r w:rsidR="005F39BD">
              <w:t xml:space="preserve"> </w:t>
            </w:r>
            <w:r>
              <w:t>support need.</w:t>
            </w:r>
          </w:p>
          <w:p w14:paraId="363409F6" w14:textId="77777777" w:rsidR="0008048F" w:rsidRDefault="00000000">
            <w:pPr>
              <w:spacing w:before="100" w:after="20"/>
            </w:pPr>
            <w:r>
              <w:rPr>
                <w:b/>
              </w:rPr>
              <w:t>3. Approval and Effective Date</w:t>
            </w:r>
          </w:p>
          <w:p w14:paraId="056EE74E" w14:textId="7B31B725" w:rsidR="0008048F" w:rsidRDefault="00000000">
            <w:pPr>
              <w:pStyle w:val="ListParagraph"/>
              <w:numPr>
                <w:ilvl w:val="0"/>
                <w:numId w:val="14"/>
              </w:numPr>
              <w:spacing w:after="0"/>
            </w:pPr>
            <w:r>
              <w:lastRenderedPageBreak/>
              <w:t>Role, title, reporting</w:t>
            </w:r>
            <w:r w:rsidR="005F39BD">
              <w:t xml:space="preserve"> </w:t>
            </w:r>
            <w:r>
              <w:t>line and organization</w:t>
            </w:r>
            <w:r w:rsidR="005F39BD">
              <w:t xml:space="preserve"> </w:t>
            </w:r>
            <w:r>
              <w:t>structure changes must follow the approved SMSA HR and management approval process. Any formal authority affected by the change remains governed by the current DOA.</w:t>
            </w:r>
          </w:p>
          <w:p w14:paraId="0AAC5303" w14:textId="77777777" w:rsidR="0008048F" w:rsidRDefault="00000000">
            <w:pPr>
              <w:pStyle w:val="ListParagraph"/>
              <w:numPr>
                <w:ilvl w:val="0"/>
                <w:numId w:val="14"/>
              </w:numPr>
              <w:spacing w:after="0"/>
            </w:pPr>
            <w:r>
              <w:t>A transfer or reassignment must have the required releasing manager, receiving manager and HR confirmation, together with the approved ERF, workflow or other current HR process where required.</w:t>
            </w:r>
          </w:p>
          <w:p w14:paraId="0FF94BFF" w14:textId="77777777" w:rsidR="0008048F" w:rsidRDefault="00000000">
            <w:pPr>
              <w:pStyle w:val="ListParagraph"/>
              <w:numPr>
                <w:ilvl w:val="0"/>
                <w:numId w:val="14"/>
              </w:numPr>
              <w:spacing w:after="0"/>
            </w:pPr>
            <w:r>
              <w:t>An employee's wish to move and a receiving manager's willingness to accept the employee do not constitute approval. The employee must continue in the current approved role until the effective date.</w:t>
            </w:r>
          </w:p>
          <w:p w14:paraId="69E52810" w14:textId="77777777" w:rsidR="0008048F" w:rsidRDefault="00000000">
            <w:pPr>
              <w:pStyle w:val="ListParagraph"/>
              <w:numPr>
                <w:ilvl w:val="0"/>
                <w:numId w:val="14"/>
              </w:numPr>
              <w:spacing w:after="0"/>
            </w:pPr>
            <w:r>
              <w:t>HR records, organization structure, job description and related systems must be updated from the approved effective date.</w:t>
            </w:r>
          </w:p>
          <w:p w14:paraId="173ED105" w14:textId="28711C12" w:rsidR="0008048F" w:rsidRDefault="00000000">
            <w:pPr>
              <w:pStyle w:val="ListParagraph"/>
              <w:numPr>
                <w:ilvl w:val="0"/>
                <w:numId w:val="14"/>
              </w:numPr>
              <w:spacing w:after="0"/>
            </w:pPr>
            <w:r>
              <w:t>Where Board, Board Committee or other corporate</w:t>
            </w:r>
            <w:r w:rsidR="005F39BD">
              <w:t xml:space="preserve"> </w:t>
            </w:r>
            <w:r>
              <w:t>governance approval is required, the applicable governance route must be followed.</w:t>
            </w:r>
          </w:p>
          <w:p w14:paraId="5FE5732C" w14:textId="77777777" w:rsidR="0008048F" w:rsidRDefault="00000000">
            <w:pPr>
              <w:spacing w:before="100" w:after="20"/>
            </w:pPr>
            <w:r>
              <w:rPr>
                <w:b/>
              </w:rPr>
              <w:t>4. Acting, Interim and Temporary Cover</w:t>
            </w:r>
          </w:p>
          <w:p w14:paraId="00804E55" w14:textId="77777777" w:rsidR="0008048F" w:rsidRDefault="00000000">
            <w:pPr>
              <w:spacing w:after="0"/>
            </w:pPr>
            <w:r>
              <w:t>Where temporary cover is needed, the relevant management owner and HR must document the assignment before the person starts where practicable. The written assignment must state the employee, reason, start date, end or review date, reporting line, main duties and whether any formal authority is granted.</w:t>
            </w:r>
          </w:p>
          <w:p w14:paraId="5549C335" w14:textId="652F50F8" w:rsidR="0008048F" w:rsidRDefault="00000000">
            <w:pPr>
              <w:pStyle w:val="ListParagraph"/>
              <w:numPr>
                <w:ilvl w:val="0"/>
                <w:numId w:val="14"/>
              </w:numPr>
              <w:spacing w:after="0"/>
            </w:pPr>
            <w:r>
              <w:t>An acting or interim assignment must be reviewed and re</w:t>
            </w:r>
            <w:r w:rsidR="005F39BD">
              <w:t xml:space="preserve"> </w:t>
            </w:r>
            <w:r>
              <w:t>approved if it continues beyond 30 days.</w:t>
            </w:r>
          </w:p>
          <w:p w14:paraId="09D2A82B" w14:textId="77777777" w:rsidR="0008048F" w:rsidRDefault="00000000">
            <w:pPr>
              <w:pStyle w:val="ListParagraph"/>
              <w:numPr>
                <w:ilvl w:val="0"/>
                <w:numId w:val="14"/>
              </w:numPr>
              <w:spacing w:after="0"/>
            </w:pPr>
            <w:r>
              <w:t>The assignment does not automatically change the employee's grade, salary, permanent job title, manpower position or DOA authority.</w:t>
            </w:r>
          </w:p>
          <w:p w14:paraId="718A2560" w14:textId="77777777" w:rsidR="0008048F" w:rsidRDefault="00000000">
            <w:pPr>
              <w:pStyle w:val="ListParagraph"/>
              <w:numPr>
                <w:ilvl w:val="0"/>
                <w:numId w:val="14"/>
              </w:numPr>
              <w:spacing w:after="0"/>
            </w:pPr>
            <w:r>
              <w:t>Formal financial, HR, procurement, banking, contract, regulatory or other approval/signatory authority may be used only where the employee already holds that authority under the current DOA or receives a valid written delegation through the approved route.</w:t>
            </w:r>
          </w:p>
          <w:p w14:paraId="5BC8D713" w14:textId="77777777" w:rsidR="0008048F" w:rsidRDefault="00000000">
            <w:pPr>
              <w:pStyle w:val="ListParagraph"/>
              <w:numPr>
                <w:ilvl w:val="0"/>
                <w:numId w:val="14"/>
              </w:numPr>
              <w:spacing w:after="0"/>
            </w:pPr>
            <w:r>
              <w:t>Any temporary allowance, acting title, communication wording or additional system access must be separately approved under the applicable HR and SMSA requirements.</w:t>
            </w:r>
          </w:p>
          <w:p w14:paraId="42EFCFD7" w14:textId="77777777" w:rsidR="0008048F" w:rsidRDefault="00000000">
            <w:pPr>
              <w:spacing w:before="100" w:after="20"/>
            </w:pPr>
            <w:r>
              <w:rPr>
                <w:b/>
              </w:rPr>
              <w:t>5. Handover Requirements</w:t>
            </w:r>
          </w:p>
          <w:p w14:paraId="05054014" w14:textId="77777777" w:rsidR="0008048F" w:rsidRDefault="00000000">
            <w:pPr>
              <w:spacing w:after="0"/>
            </w:pPr>
            <w:r>
              <w:t>A documented handover is mandatory for management, supervisory and Key Transitions. HR and the direct manager may require a handover for other roles where continuity, access, customer, regulatory, safety or financial risk makes it necessary.</w:t>
            </w:r>
          </w:p>
          <w:p w14:paraId="3577F1FE" w14:textId="77777777" w:rsidR="0008048F" w:rsidRDefault="00000000">
            <w:pPr>
              <w:spacing w:before="40" w:after="0"/>
            </w:pPr>
            <w:r>
              <w:t>The handover should be proportionate to the role and should cover, as relevant:</w:t>
            </w:r>
          </w:p>
          <w:p w14:paraId="558B75FD" w14:textId="77777777" w:rsidR="0008048F" w:rsidRDefault="00000000">
            <w:pPr>
              <w:pStyle w:val="ListParagraph"/>
              <w:numPr>
                <w:ilvl w:val="0"/>
                <w:numId w:val="14"/>
              </w:numPr>
              <w:spacing w:after="0"/>
            </w:pPr>
            <w:r>
              <w:t>current responsibilities, objectives, open decisions, approvals, deadlines and recurring work;</w:t>
            </w:r>
          </w:p>
          <w:p w14:paraId="623A4725" w14:textId="77777777" w:rsidR="0008048F" w:rsidRDefault="00000000">
            <w:pPr>
              <w:pStyle w:val="ListParagraph"/>
              <w:numPr>
                <w:ilvl w:val="0"/>
                <w:numId w:val="14"/>
              </w:numPr>
              <w:spacing w:after="0"/>
            </w:pPr>
            <w:r>
              <w:t>key employee, customer, vendor, contract, project and financial matters;</w:t>
            </w:r>
          </w:p>
          <w:p w14:paraId="70C84748" w14:textId="77777777" w:rsidR="0008048F" w:rsidRDefault="00000000">
            <w:pPr>
              <w:pStyle w:val="ListParagraph"/>
              <w:numPr>
                <w:ilvl w:val="0"/>
                <w:numId w:val="14"/>
              </w:numPr>
              <w:spacing w:after="0"/>
            </w:pPr>
            <w:r>
              <w:t>open risks, regulatory matters, audits, CAPAs, incidents, investigations and legal matters;</w:t>
            </w:r>
          </w:p>
          <w:p w14:paraId="4E638420" w14:textId="77777777" w:rsidR="0008048F" w:rsidRDefault="00000000">
            <w:pPr>
              <w:pStyle w:val="ListParagraph"/>
              <w:numPr>
                <w:ilvl w:val="0"/>
                <w:numId w:val="14"/>
              </w:numPr>
              <w:spacing w:after="0"/>
            </w:pPr>
            <w:r>
              <w:t>systems, files, records, shared folders, devices, keys, badges, assets and access that must be transferred, changed or removed; and</w:t>
            </w:r>
          </w:p>
          <w:p w14:paraId="5AD099EA" w14:textId="7B2E5088" w:rsidR="0008048F" w:rsidRDefault="00000000">
            <w:pPr>
              <w:pStyle w:val="ListParagraph"/>
              <w:numPr>
                <w:ilvl w:val="0"/>
                <w:numId w:val="14"/>
              </w:numPr>
              <w:spacing w:after="0"/>
            </w:pPr>
            <w:r>
              <w:t>known problems, delays, staffing gaps, key</w:t>
            </w:r>
            <w:r w:rsidR="005F39BD">
              <w:t xml:space="preserve"> </w:t>
            </w:r>
            <w:r>
              <w:t>person dependencies and work that may need replacement, temporary support or reprioritization.</w:t>
            </w:r>
          </w:p>
          <w:p w14:paraId="0FAD7B21" w14:textId="77777777" w:rsidR="0008048F" w:rsidRDefault="00000000">
            <w:pPr>
              <w:pStyle w:val="ListParagraph"/>
              <w:numPr>
                <w:ilvl w:val="0"/>
                <w:numId w:val="14"/>
              </w:numPr>
              <w:spacing w:after="0"/>
            </w:pPr>
            <w:r>
              <w:t>The incoming or acting role holder must review the handover promptly and raise important gaps.</w:t>
            </w:r>
          </w:p>
          <w:p w14:paraId="0D5961A8" w14:textId="77777777" w:rsidR="0008048F" w:rsidRDefault="00000000">
            <w:pPr>
              <w:pStyle w:val="ListParagraph"/>
              <w:numPr>
                <w:ilvl w:val="0"/>
                <w:numId w:val="14"/>
              </w:numPr>
              <w:spacing w:after="0"/>
            </w:pPr>
            <w:r>
              <w:lastRenderedPageBreak/>
              <w:t>If the outgoing employee is unavailable, has already left or cannot complete the handover, the direct manager and HR must reconstruct it from available records, systems and responsible functions. Business continuity must not depend on the outgoing employee signing a document.</w:t>
            </w:r>
          </w:p>
          <w:p w14:paraId="39041424" w14:textId="77777777" w:rsidR="0008048F" w:rsidRDefault="00000000">
            <w:pPr>
              <w:pStyle w:val="ListParagraph"/>
              <w:numPr>
                <w:ilvl w:val="0"/>
                <w:numId w:val="14"/>
              </w:numPr>
              <w:spacing w:after="0"/>
            </w:pPr>
            <w:r>
              <w:t>A handover is not complete simply because work has been allocated to someone else. For a Key Transition, management and HR must also consider whether the person receiving the work has the competence, authority, resources and reasonable capacity to perform it.</w:t>
            </w:r>
          </w:p>
          <w:p w14:paraId="6C858610" w14:textId="77777777" w:rsidR="0008048F" w:rsidRDefault="00000000">
            <w:pPr>
              <w:spacing w:before="100" w:after="20"/>
            </w:pPr>
            <w:r>
              <w:rPr>
                <w:b/>
              </w:rPr>
              <w:t>6. Accountability and Ownership</w:t>
            </w:r>
          </w:p>
          <w:p w14:paraId="5974FD9C" w14:textId="77777777" w:rsidR="0008048F" w:rsidRDefault="00000000">
            <w:pPr>
              <w:pStyle w:val="ListParagraph"/>
              <w:numPr>
                <w:ilvl w:val="0"/>
                <w:numId w:val="14"/>
              </w:numPr>
              <w:spacing w:after="0"/>
            </w:pPr>
            <w:r>
              <w:t>The outgoing role holder remains accountable for decisions, actions, records and required disclosure relating to the period up to the approved effective date.</w:t>
            </w:r>
          </w:p>
          <w:p w14:paraId="783235CA" w14:textId="77777777" w:rsidR="0008048F" w:rsidRDefault="00000000">
            <w:pPr>
              <w:pStyle w:val="ListParagraph"/>
              <w:numPr>
                <w:ilvl w:val="0"/>
                <w:numId w:val="14"/>
              </w:numPr>
              <w:spacing w:after="0"/>
            </w:pPr>
            <w:r>
              <w:t>The incoming or acting role holder becomes accountable for assigned responsibilities from the approved effective date and only within the authority formally granted.</w:t>
            </w:r>
          </w:p>
          <w:p w14:paraId="39468AB5" w14:textId="77777777" w:rsidR="0008048F" w:rsidRDefault="00000000">
            <w:pPr>
              <w:pStyle w:val="ListParagraph"/>
              <w:numPr>
                <w:ilvl w:val="0"/>
                <w:numId w:val="14"/>
              </w:numPr>
              <w:spacing w:after="0"/>
            </w:pPr>
            <w:r>
              <w:t>A handover does not remove accountability for earlier decisions, conduct, approvals, omissions or records.</w:t>
            </w:r>
          </w:p>
          <w:p w14:paraId="62441333" w14:textId="77777777" w:rsidR="0008048F" w:rsidRDefault="00000000">
            <w:pPr>
              <w:pStyle w:val="ListParagraph"/>
              <w:numPr>
                <w:ilvl w:val="0"/>
                <w:numId w:val="14"/>
              </w:numPr>
              <w:spacing w:after="0"/>
            </w:pPr>
            <w:r>
              <w:t>Open actions must show the current owner, status and target date. A responsibility must not disappear from tracking because the previous owner moved or left.</w:t>
            </w:r>
          </w:p>
          <w:p w14:paraId="68A1765F" w14:textId="77777777" w:rsidR="0008048F" w:rsidRDefault="00000000">
            <w:pPr>
              <w:spacing w:before="100" w:after="20"/>
            </w:pPr>
            <w:r>
              <w:rPr>
                <w:b/>
              </w:rPr>
              <w:t>7. Job Titles, Reporting Lines and Official Communication</w:t>
            </w:r>
          </w:p>
          <w:p w14:paraId="15471B77" w14:textId="048FCE8E" w:rsidR="0008048F" w:rsidRDefault="00000000">
            <w:pPr>
              <w:pStyle w:val="ListParagraph"/>
              <w:numPr>
                <w:ilvl w:val="0"/>
                <w:numId w:val="14"/>
              </w:numPr>
              <w:spacing w:after="0"/>
            </w:pPr>
            <w:r>
              <w:t>Only HR</w:t>
            </w:r>
            <w:r w:rsidR="005F39BD">
              <w:t xml:space="preserve"> </w:t>
            </w:r>
            <w:r>
              <w:t>confirmed roles, titles and reporting lines may be used in HR records, organization charts, email signatures, business cards, directories, system profiles and official communication.</w:t>
            </w:r>
          </w:p>
          <w:p w14:paraId="63F56EDB" w14:textId="77777777" w:rsidR="0008048F" w:rsidRDefault="00000000">
            <w:pPr>
              <w:pStyle w:val="ListParagraph"/>
              <w:numPr>
                <w:ilvl w:val="0"/>
                <w:numId w:val="14"/>
              </w:numPr>
              <w:spacing w:after="0"/>
            </w:pPr>
            <w:r>
              <w:t>An acting or interim title may be used only after HR has confirmed the temporary assignment and approved wording in writing. A proposed or pending appointment must not be presented as final.</w:t>
            </w:r>
          </w:p>
          <w:p w14:paraId="59AAC476" w14:textId="77777777" w:rsidR="0008048F" w:rsidRDefault="00000000">
            <w:pPr>
              <w:pStyle w:val="ListParagraph"/>
              <w:numPr>
                <w:ilvl w:val="0"/>
                <w:numId w:val="14"/>
              </w:numPr>
              <w:spacing w:after="0"/>
            </w:pPr>
            <w:r>
              <w:t>An email signature, announcement, meeting attendance or system profile does not create a role or authority.</w:t>
            </w:r>
          </w:p>
          <w:p w14:paraId="073FDB35" w14:textId="77777777" w:rsidR="0008048F" w:rsidRDefault="00000000">
            <w:pPr>
              <w:pStyle w:val="ListParagraph"/>
              <w:numPr>
                <w:ilvl w:val="0"/>
                <w:numId w:val="14"/>
              </w:numPr>
              <w:spacing w:after="0"/>
            </w:pPr>
            <w:r>
              <w:t>Documents or transactions requiring formal approval or signature must be handled by an employee who holds the required authority under the current DOA or a valid written delegation.</w:t>
            </w:r>
          </w:p>
          <w:p w14:paraId="37C928CA" w14:textId="77777777" w:rsidR="0008048F" w:rsidRDefault="00000000">
            <w:pPr>
              <w:pStyle w:val="ListParagraph"/>
              <w:numPr>
                <w:ilvl w:val="0"/>
                <w:numId w:val="14"/>
              </w:numPr>
              <w:spacing w:after="0"/>
            </w:pPr>
            <w:r>
              <w:t>HR, ITD, Finance, Corporate Governance / Board Secretariat and Corporate Communications must update formal records or communication where relevant.</w:t>
            </w:r>
          </w:p>
          <w:p w14:paraId="3B2EB17D" w14:textId="77777777" w:rsidR="0008048F" w:rsidRDefault="00000000">
            <w:pPr>
              <w:spacing w:before="100" w:after="20"/>
            </w:pPr>
            <w:r>
              <w:rPr>
                <w:b/>
              </w:rPr>
              <w:t>8. Employee Movement, Team Stability and Workload</w:t>
            </w:r>
          </w:p>
          <w:p w14:paraId="095BD5AA" w14:textId="77777777" w:rsidR="0008048F" w:rsidRDefault="00000000">
            <w:pPr>
              <w:spacing w:after="0"/>
            </w:pPr>
            <w:r>
              <w:t>Employees may discuss career opportunities and apply for roles through the approved process. Until a movement is formally approved and effective, the employee remains responsible for the current role and reporting line.</w:t>
            </w:r>
          </w:p>
          <w:p w14:paraId="232098A7" w14:textId="754331FD" w:rsidR="0008048F" w:rsidRDefault="00000000">
            <w:pPr>
              <w:pStyle w:val="ListParagraph"/>
              <w:numPr>
                <w:ilvl w:val="0"/>
                <w:numId w:val="14"/>
              </w:numPr>
              <w:spacing w:after="0"/>
            </w:pPr>
            <w:r>
              <w:t xml:space="preserve">An employee must not </w:t>
            </w:r>
            <w:proofErr w:type="spellStart"/>
            <w:r>
              <w:t>self</w:t>
            </w:r>
            <w:r w:rsidR="005F39BD">
              <w:t xml:space="preserve"> </w:t>
            </w:r>
            <w:r>
              <w:t>allocate</w:t>
            </w:r>
            <w:proofErr w:type="spellEnd"/>
            <w:r>
              <w:t>, start reporting to another manager, substantially redirect their work or operate mainly as part of another function before the approved effective date.</w:t>
            </w:r>
          </w:p>
          <w:p w14:paraId="348CF37E" w14:textId="77777777" w:rsidR="0008048F" w:rsidRDefault="00000000">
            <w:pPr>
              <w:pStyle w:val="ListParagraph"/>
              <w:numPr>
                <w:ilvl w:val="0"/>
                <w:numId w:val="14"/>
              </w:numPr>
              <w:spacing w:after="0"/>
            </w:pPr>
            <w:r>
              <w:t>A manager must not privately arrange or accept an informal move, direct an employee to reduce current responsibilities, or promise a transfer, appointment, promotion, title, grade, salary or reporting line before the required approval.</w:t>
            </w:r>
          </w:p>
          <w:p w14:paraId="1E6604CA" w14:textId="77777777" w:rsidR="0008048F" w:rsidRDefault="00000000">
            <w:pPr>
              <w:pStyle w:val="ListParagraph"/>
              <w:numPr>
                <w:ilvl w:val="0"/>
                <w:numId w:val="14"/>
              </w:numPr>
              <w:spacing w:after="0"/>
            </w:pPr>
            <w:r>
              <w:t>A manager moving to another role or function must not assume that employees who previously reported to them will move with them.</w:t>
            </w:r>
          </w:p>
          <w:p w14:paraId="4AD26EF5" w14:textId="77777777" w:rsidR="0008048F" w:rsidRDefault="00000000">
            <w:pPr>
              <w:pStyle w:val="ListParagraph"/>
              <w:numPr>
                <w:ilvl w:val="0"/>
                <w:numId w:val="14"/>
              </w:numPr>
              <w:spacing w:after="0"/>
            </w:pPr>
            <w:r>
              <w:lastRenderedPageBreak/>
              <w:t>Managers must not pressure an employee to move, stay, withdraw an application or accept or reject another role. An employee must not be disadvantaged merely for expressing legitimate interest in an approved internal opportunity.</w:t>
            </w:r>
          </w:p>
          <w:p w14:paraId="05F781FA" w14:textId="45159DE9" w:rsidR="0008048F" w:rsidRDefault="00000000">
            <w:pPr>
              <w:pStyle w:val="ListParagraph"/>
              <w:numPr>
                <w:ilvl w:val="0"/>
                <w:numId w:val="14"/>
              </w:numPr>
              <w:spacing w:after="0"/>
            </w:pPr>
            <w:r>
              <w:t>Before an employee movement connected with a Key Transition is approved, HR and the releasing and receiving management must consider the critical work that will remain, staffing and competence, current workload, key</w:t>
            </w:r>
            <w:r w:rsidR="005F39BD">
              <w:t xml:space="preserve"> </w:t>
            </w:r>
            <w:r>
              <w:t>person dependencies, other recent or proposed employee movements and the availability of replacement or temporary support.</w:t>
            </w:r>
          </w:p>
          <w:p w14:paraId="0342068D" w14:textId="77777777" w:rsidR="0008048F" w:rsidRDefault="00000000">
            <w:pPr>
              <w:pStyle w:val="ListParagraph"/>
              <w:numPr>
                <w:ilvl w:val="0"/>
                <w:numId w:val="14"/>
              </w:numPr>
              <w:spacing w:after="0"/>
            </w:pPr>
            <w:r>
              <w:t>Where several employees are leaving, serving notice, transferring or being temporarily allocated from the same function, the combined effect must be considered rather than treating each movement separately.</w:t>
            </w:r>
          </w:p>
          <w:p w14:paraId="17020194" w14:textId="77777777" w:rsidR="0008048F" w:rsidRDefault="00000000">
            <w:pPr>
              <w:pStyle w:val="ListParagraph"/>
              <w:numPr>
                <w:ilvl w:val="0"/>
                <w:numId w:val="14"/>
              </w:numPr>
              <w:spacing w:after="0"/>
            </w:pPr>
            <w:r>
              <w:t>If a proposed movement creates a Team Capacity Risk, management must agree appropriate continuity action before or together with the movement. This may include replacement recruitment, temporary support, phased or delayed transfer, redistribution of responsibilities or reprioritization of work.</w:t>
            </w:r>
          </w:p>
          <w:p w14:paraId="430340A4" w14:textId="77777777" w:rsidR="0008048F" w:rsidRDefault="00000000">
            <w:pPr>
              <w:pStyle w:val="ListParagraph"/>
              <w:numPr>
                <w:ilvl w:val="0"/>
                <w:numId w:val="14"/>
              </w:numPr>
              <w:spacing w:after="0"/>
            </w:pPr>
            <w:r>
              <w:t>Where a movement affects a control, assurance or oversight function such as QRM, Internal Audit, Legal, Finance, safety or security, management must also consider competence, independence and segregation of duties. If the normal approval route is affected, the matter must be escalated through the next appropriate approved route.</w:t>
            </w:r>
          </w:p>
          <w:p w14:paraId="6ED3B50F" w14:textId="77777777" w:rsidR="0008048F" w:rsidRDefault="00000000">
            <w:pPr>
              <w:pStyle w:val="ListParagraph"/>
              <w:numPr>
                <w:ilvl w:val="0"/>
                <w:numId w:val="14"/>
              </w:numPr>
              <w:spacing w:after="0"/>
            </w:pPr>
            <w:r>
              <w:t>Employees and managers must continue to protect confidential information during any proposed movement. Restricted information may be shared with a prospective manager or receiving function only where that person is separately authorized and has a legitimate business need.</w:t>
            </w:r>
          </w:p>
          <w:p w14:paraId="4AD5E65A" w14:textId="77777777" w:rsidR="0008048F" w:rsidRDefault="00000000">
            <w:pPr>
              <w:spacing w:before="100" w:after="20"/>
            </w:pPr>
            <w:r>
              <w:rPr>
                <w:b/>
              </w:rPr>
              <w:t>9. System Access, Physical Access and Assets</w:t>
            </w:r>
          </w:p>
          <w:p w14:paraId="0AF2E5BD" w14:textId="77777777" w:rsidR="0008048F" w:rsidRDefault="00000000">
            <w:pPr>
              <w:pStyle w:val="ListParagraph"/>
              <w:numPr>
                <w:ilvl w:val="0"/>
                <w:numId w:val="14"/>
              </w:numPr>
              <w:spacing w:after="0"/>
            </w:pPr>
            <w:r>
              <w:t>Every role change must trigger an access and asset review appropriate to the change.</w:t>
            </w:r>
          </w:p>
          <w:p w14:paraId="23642B60" w14:textId="77777777" w:rsidR="0008048F" w:rsidRDefault="00000000">
            <w:pPr>
              <w:pStyle w:val="ListParagraph"/>
              <w:numPr>
                <w:ilvl w:val="0"/>
                <w:numId w:val="14"/>
              </w:numPr>
              <w:spacing w:after="0"/>
            </w:pPr>
            <w:r>
              <w:t>Access from the previous role must be removed or changed when it is no longer required. New access must be approved based on business need and the approved role.</w:t>
            </w:r>
          </w:p>
          <w:p w14:paraId="54E0BFB1" w14:textId="77777777" w:rsidR="0008048F" w:rsidRDefault="00000000">
            <w:pPr>
              <w:pStyle w:val="ListParagraph"/>
              <w:numPr>
                <w:ilvl w:val="0"/>
                <w:numId w:val="14"/>
              </w:numPr>
              <w:spacing w:after="0"/>
            </w:pPr>
            <w:r>
              <w:t>Privileged, administrator, banking, finance, HR, procurement, customer, vendor, cloud, VPN, remote and other sensitive access must receive specific review by ITD where relevant.</w:t>
            </w:r>
          </w:p>
          <w:p w14:paraId="4D26BD85" w14:textId="77777777" w:rsidR="0008048F" w:rsidRDefault="00000000">
            <w:pPr>
              <w:pStyle w:val="ListParagraph"/>
              <w:numPr>
                <w:ilvl w:val="0"/>
                <w:numId w:val="14"/>
              </w:numPr>
              <w:spacing w:after="0"/>
            </w:pPr>
            <w:r>
              <w:t>Keys, badges, tokens, devices, laptops, phones, documents, records and other SMSA assets must be returned, transferred or recorded as required.</w:t>
            </w:r>
          </w:p>
          <w:p w14:paraId="62417773" w14:textId="659BA070" w:rsidR="0008048F" w:rsidRDefault="00000000">
            <w:pPr>
              <w:pStyle w:val="ListParagraph"/>
              <w:numPr>
                <w:ilvl w:val="0"/>
                <w:numId w:val="14"/>
              </w:numPr>
              <w:spacing w:after="0"/>
            </w:pPr>
            <w:r>
              <w:t>Where shared, administrator or service</w:t>
            </w:r>
            <w:r w:rsidR="005F39BD">
              <w:t xml:space="preserve"> </w:t>
            </w:r>
            <w:r>
              <w:t xml:space="preserve">account credentials may be known by a transferred or departing employee, ITD must assess whether passwords, keys, tokens or other credentials must be changed. Evidence of </w:t>
            </w:r>
            <w:r w:rsidR="005F39BD">
              <w:t xml:space="preserve">significant </w:t>
            </w:r>
            <w:r>
              <w:t>access and asset changes must be retained.</w:t>
            </w:r>
          </w:p>
          <w:p w14:paraId="04905258" w14:textId="77777777" w:rsidR="0008048F" w:rsidRDefault="00000000">
            <w:pPr>
              <w:spacing w:before="100" w:after="20"/>
            </w:pPr>
            <w:r>
              <w:rPr>
                <w:b/>
              </w:rPr>
              <w:t>10. Unclear Areas, Assumed Roles and Urgent Direction</w:t>
            </w:r>
          </w:p>
          <w:p w14:paraId="2FB3AC19" w14:textId="77777777" w:rsidR="0008048F" w:rsidRDefault="00000000">
            <w:pPr>
              <w:spacing w:after="0"/>
            </w:pPr>
            <w:r>
              <w:t>An unclear area exists when people are working on an assumption instead of an approved role, reporting line, responsibility or authority. Anyone who identifies an unclear area or authority gap must raise it promptly to the relevant manager and HR.</w:t>
            </w:r>
          </w:p>
          <w:p w14:paraId="1ADE026B" w14:textId="77777777" w:rsidR="0008048F" w:rsidRDefault="00000000">
            <w:pPr>
              <w:pStyle w:val="ListParagraph"/>
              <w:numPr>
                <w:ilvl w:val="0"/>
                <w:numId w:val="14"/>
              </w:numPr>
              <w:spacing w:after="0"/>
            </w:pPr>
            <w:r>
              <w:t>HR must confirm the correct position by checking the approved organization structure, HR record, job description, written assignment and current DOA, as relevant.</w:t>
            </w:r>
          </w:p>
          <w:p w14:paraId="520F7359" w14:textId="021246FB" w:rsidR="0008048F" w:rsidRDefault="00000000">
            <w:pPr>
              <w:pStyle w:val="ListParagraph"/>
              <w:numPr>
                <w:ilvl w:val="0"/>
                <w:numId w:val="14"/>
              </w:numPr>
              <w:spacing w:after="0"/>
            </w:pPr>
            <w:r>
              <w:lastRenderedPageBreak/>
              <w:t xml:space="preserve">When a person with management, supervisory or </w:t>
            </w:r>
            <w:proofErr w:type="gramStart"/>
            <w:r>
              <w:t>decision</w:t>
            </w:r>
            <w:r w:rsidR="005F39BD">
              <w:t xml:space="preserve"> </w:t>
            </w:r>
            <w:r>
              <w:t>making</w:t>
            </w:r>
            <w:proofErr w:type="gramEnd"/>
            <w:r>
              <w:t xml:space="preserve"> responsibility leaves, is terminated, transfers, is suspended or becomes unexpectedly unavailable, the management owner and HR must promptly tell affected employees in writing: who they report to, who owns day</w:t>
            </w:r>
            <w:r w:rsidR="005F39BD">
              <w:t xml:space="preserve"> </w:t>
            </w:r>
            <w:r>
              <w:t>to</w:t>
            </w:r>
            <w:r w:rsidR="005F39BD">
              <w:t xml:space="preserve"> </w:t>
            </w:r>
            <w:r>
              <w:t>day work and business continuity, and which existing employee holds any required formal approval or signatory authority. The confidential reason for a separation does not need to be disclosed.</w:t>
            </w:r>
          </w:p>
          <w:p w14:paraId="35C90B2E" w14:textId="4EACF00A" w:rsidR="0008048F" w:rsidRDefault="00000000">
            <w:pPr>
              <w:pStyle w:val="ListParagraph"/>
              <w:numPr>
                <w:ilvl w:val="0"/>
                <w:numId w:val="14"/>
              </w:numPr>
              <w:spacing w:after="0"/>
            </w:pPr>
            <w:r>
              <w:t xml:space="preserve">An unclear reporting line or authority after a departure or sudden absence is an urgent gap and must be resolved as soon as the change takes effect. Other </w:t>
            </w:r>
            <w:proofErr w:type="spellStart"/>
            <w:r>
              <w:t>non</w:t>
            </w:r>
            <w:r w:rsidR="005F39BD">
              <w:t xml:space="preserve"> </w:t>
            </w:r>
            <w:r>
              <w:t>urgent</w:t>
            </w:r>
            <w:proofErr w:type="spellEnd"/>
            <w:r>
              <w:t xml:space="preserve"> unclear areas should normally be resolved within five working days.</w:t>
            </w:r>
          </w:p>
          <w:p w14:paraId="7CBEA21F" w14:textId="564B37E0" w:rsidR="0008048F" w:rsidRDefault="00000000">
            <w:pPr>
              <w:pStyle w:val="ListParagraph"/>
              <w:numPr>
                <w:ilvl w:val="0"/>
                <w:numId w:val="14"/>
              </w:numPr>
              <w:spacing w:after="0"/>
            </w:pPr>
            <w:r>
              <w:t xml:space="preserve">If the position cannot be resolved, HR must escalate it to CEO/MD level and involve Legal where authority or legal exposure is unclear. Any </w:t>
            </w:r>
            <w:r w:rsidR="005F39BD">
              <w:t xml:space="preserve">significant </w:t>
            </w:r>
            <w:r>
              <w:t>risk must be escalated through the Risk Management Policy and to QRM where required.</w:t>
            </w:r>
          </w:p>
          <w:p w14:paraId="385E8B3B" w14:textId="77777777" w:rsidR="0008048F" w:rsidRDefault="00000000">
            <w:pPr>
              <w:pStyle w:val="ListParagraph"/>
              <w:numPr>
                <w:ilvl w:val="0"/>
                <w:numId w:val="14"/>
              </w:numPr>
              <w:spacing w:after="0"/>
            </w:pPr>
            <w:r>
              <w:t>The matter remains open in the transition record until the official role or owner, reporting line, required authority and effective date are clear.</w:t>
            </w:r>
          </w:p>
          <w:p w14:paraId="1E10159A" w14:textId="77777777" w:rsidR="0008048F" w:rsidRDefault="00000000">
            <w:pPr>
              <w:spacing w:before="100" w:after="20"/>
            </w:pPr>
            <w:r>
              <w:rPr>
                <w:b/>
              </w:rPr>
              <w:t>11. Country Labour Law, Employee Rights and Incidents</w:t>
            </w:r>
          </w:p>
          <w:p w14:paraId="6A196D24" w14:textId="77777777" w:rsidR="0008048F" w:rsidRDefault="00000000">
            <w:pPr>
              <w:pStyle w:val="ListParagraph"/>
              <w:numPr>
                <w:ilvl w:val="0"/>
                <w:numId w:val="14"/>
              </w:numPr>
              <w:spacing w:after="0"/>
            </w:pPr>
            <w:r>
              <w:t>This policy must be applied together with the mandatory labour and employment law of the country where the employee is employed, the employment contract and other mandatory local requirements. If there is a conflict, mandatory local law prevails.</w:t>
            </w:r>
          </w:p>
          <w:p w14:paraId="6C7CE0C2" w14:textId="34B46128" w:rsidR="0008048F" w:rsidRDefault="00000000">
            <w:pPr>
              <w:pStyle w:val="ListParagraph"/>
              <w:numPr>
                <w:ilvl w:val="0"/>
                <w:numId w:val="14"/>
              </w:numPr>
              <w:spacing w:after="0"/>
            </w:pPr>
            <w:r>
              <w:t>Resignation, termination, notice, transfer, change of employment terms, final settlement, end</w:t>
            </w:r>
            <w:r w:rsidR="005F39BD">
              <w:t xml:space="preserve"> </w:t>
            </w:r>
            <w:r>
              <w:t>of</w:t>
            </w:r>
            <w:r w:rsidR="005F39BD">
              <w:t xml:space="preserve"> </w:t>
            </w:r>
            <w:r>
              <w:t>service benefits, immigration or visa matters and disciplinary action must follow applicable law and the approved HR process. In Saudi Arabia, the Saudi Labor Law applies; in other countries, the applicable local law applies.</w:t>
            </w:r>
          </w:p>
          <w:p w14:paraId="0DC754C9" w14:textId="77777777" w:rsidR="0008048F" w:rsidRDefault="00000000">
            <w:pPr>
              <w:pStyle w:val="ListParagraph"/>
              <w:numPr>
                <w:ilvl w:val="0"/>
                <w:numId w:val="14"/>
              </w:numPr>
              <w:spacing w:after="0"/>
            </w:pPr>
            <w:r>
              <w:t>Failure to complete a handover may be addressed through the applicable HR process but must not be used to unlawfully delay wages, final settlement or other employee rights.</w:t>
            </w:r>
          </w:p>
          <w:p w14:paraId="330C627C" w14:textId="77777777" w:rsidR="0008048F" w:rsidRDefault="00000000">
            <w:pPr>
              <w:pStyle w:val="ListParagraph"/>
              <w:numPr>
                <w:ilvl w:val="0"/>
                <w:numId w:val="14"/>
              </w:numPr>
              <w:spacing w:after="0"/>
            </w:pPr>
            <w:r>
              <w:t>Any suspected fraud, misconduct, financial discrepancy, unauthorized access, data loss, regulatory, safety, security or other reportable incident identified during a transition must be handled under the SMSA Incident Reporting and Investigation requirements. Evidence must be protected, and a transition does not close an incident or investigation.</w:t>
            </w:r>
          </w:p>
          <w:p w14:paraId="7D2B031D" w14:textId="2A71617A" w:rsidR="0008048F" w:rsidRDefault="00000000">
            <w:pPr>
              <w:spacing w:before="100" w:after="20"/>
            </w:pPr>
            <w:r>
              <w:rPr>
                <w:b/>
              </w:rPr>
              <w:t>12. Transition Register and Post</w:t>
            </w:r>
            <w:r w:rsidR="005F39BD">
              <w:rPr>
                <w:b/>
              </w:rPr>
              <w:t xml:space="preserve"> </w:t>
            </w:r>
            <w:r>
              <w:rPr>
                <w:b/>
              </w:rPr>
              <w:t>Transition Review</w:t>
            </w:r>
          </w:p>
          <w:p w14:paraId="76236818" w14:textId="77777777" w:rsidR="0008048F" w:rsidRDefault="00000000">
            <w:pPr>
              <w:pStyle w:val="ListParagraph"/>
              <w:numPr>
                <w:ilvl w:val="0"/>
                <w:numId w:val="14"/>
              </w:numPr>
              <w:spacing w:after="0"/>
            </w:pPr>
            <w:r>
              <w:t>HR must maintain a Transition Register for Key Transitions and other transitions that require formal control. At minimum, it should record the affected role and function, type of change, trigger and effective dates, incoming or acting holder, approval reference, handover and access status, any unresolved unclear area or authority issue, responsible owner and closure date.</w:t>
            </w:r>
          </w:p>
          <w:p w14:paraId="475D4499" w14:textId="78C613F2" w:rsidR="0008048F" w:rsidRDefault="00000000">
            <w:pPr>
              <w:pStyle w:val="ListParagraph"/>
              <w:numPr>
                <w:ilvl w:val="0"/>
                <w:numId w:val="14"/>
              </w:numPr>
              <w:spacing w:after="0"/>
            </w:pPr>
            <w:r>
              <w:t>For C Suite, Heads of Department/Region, critical roles and other Key Transitions, HR and the management owner must complete a short post</w:t>
            </w:r>
            <w:r w:rsidR="005F39BD">
              <w:t xml:space="preserve"> </w:t>
            </w:r>
            <w:r>
              <w:t>transition review normally within 30 days after the effective date.</w:t>
            </w:r>
          </w:p>
          <w:p w14:paraId="601D805D" w14:textId="77777777" w:rsidR="0008048F" w:rsidRDefault="00000000">
            <w:pPr>
              <w:pStyle w:val="ListParagraph"/>
              <w:numPr>
                <w:ilvl w:val="0"/>
                <w:numId w:val="14"/>
              </w:numPr>
              <w:spacing w:after="0"/>
            </w:pPr>
            <w:r>
              <w:t>The review must confirm that the official role, title, reporting line, authority, access, handover, open actions and ownership of key risks are clear and match approved records. It must also confirm that the affected function has reasonable capability and capacity to perform its critical responsibilities.</w:t>
            </w:r>
          </w:p>
          <w:p w14:paraId="66D2675E" w14:textId="77777777" w:rsidR="0008048F" w:rsidRDefault="00000000">
            <w:pPr>
              <w:pStyle w:val="ListParagraph"/>
              <w:numPr>
                <w:ilvl w:val="0"/>
                <w:numId w:val="14"/>
              </w:numPr>
              <w:spacing w:after="0"/>
            </w:pPr>
            <w:r>
              <w:lastRenderedPageBreak/>
              <w:t>A Key Transition must remain open where a significant continuity or capacity problem remains, until appropriate management action, resources, prioritization or other continuity controls are in place.</w:t>
            </w:r>
          </w:p>
          <w:p w14:paraId="30D47D75" w14:textId="080B361E" w:rsidR="0008048F" w:rsidRDefault="00000000">
            <w:pPr>
              <w:spacing w:before="100" w:after="20"/>
            </w:pPr>
            <w:r>
              <w:rPr>
                <w:b/>
              </w:rPr>
              <w:t xml:space="preserve">13. </w:t>
            </w:r>
            <w:proofErr w:type="gramStart"/>
            <w:r>
              <w:rPr>
                <w:b/>
              </w:rPr>
              <w:t>Non</w:t>
            </w:r>
            <w:r w:rsidR="005F39BD">
              <w:rPr>
                <w:b/>
              </w:rPr>
              <w:t xml:space="preserve"> </w:t>
            </w:r>
            <w:r>
              <w:rPr>
                <w:b/>
              </w:rPr>
              <w:t>Compliance</w:t>
            </w:r>
            <w:proofErr w:type="gramEnd"/>
            <w:r>
              <w:rPr>
                <w:b/>
              </w:rPr>
              <w:t xml:space="preserve"> and Exceptions</w:t>
            </w:r>
          </w:p>
          <w:p w14:paraId="62DDB217" w14:textId="27A1D2BD" w:rsidR="0008048F" w:rsidRDefault="00000000">
            <w:pPr>
              <w:spacing w:after="0"/>
            </w:pPr>
            <w:r>
              <w:t xml:space="preserve">Examples of </w:t>
            </w:r>
            <w:proofErr w:type="spellStart"/>
            <w:r>
              <w:t>non</w:t>
            </w:r>
            <w:r w:rsidR="005F39BD">
              <w:t xml:space="preserve"> </w:t>
            </w:r>
            <w:r>
              <w:t>compliance</w:t>
            </w:r>
            <w:proofErr w:type="spellEnd"/>
            <w:r>
              <w:t xml:space="preserve"> include bypassing required approval or effective</w:t>
            </w:r>
            <w:r w:rsidR="005F39BD">
              <w:t xml:space="preserve"> </w:t>
            </w:r>
            <w:r>
              <w:t>date controls, using an unapproved title or authority, failing to complete a required handover or access change, allowing an informal employee movement, ignoring a significant team</w:t>
            </w:r>
            <w:r w:rsidR="005F39BD">
              <w:t xml:space="preserve"> </w:t>
            </w:r>
            <w:r>
              <w:t>capacity or continuity risk, or failing to report a reportable incident identified during the transition.</w:t>
            </w:r>
          </w:p>
          <w:p w14:paraId="6E060C39" w14:textId="576A788E" w:rsidR="0008048F" w:rsidRDefault="00000000">
            <w:pPr>
              <w:spacing w:before="40" w:after="0"/>
            </w:pPr>
            <w:proofErr w:type="spellStart"/>
            <w:r>
              <w:t>Non</w:t>
            </w:r>
            <w:r w:rsidR="005F39BD">
              <w:t xml:space="preserve"> </w:t>
            </w:r>
            <w:r>
              <w:t>compliance</w:t>
            </w:r>
            <w:proofErr w:type="spellEnd"/>
            <w:r>
              <w:t xml:space="preserve"> may result in HR review, corrective action, disciplinary action, Legal review, QRM review or management escalation, depending on the facts and applicable SMSA requirements. Any disciplinary action must follow local law and due process.</w:t>
            </w:r>
          </w:p>
          <w:p w14:paraId="790FC7D0" w14:textId="40185897" w:rsidR="0008048F" w:rsidRDefault="00000000">
            <w:pPr>
              <w:spacing w:before="40" w:after="0"/>
            </w:pPr>
            <w:r>
              <w:t>Any exception must be justified, documented, time</w:t>
            </w:r>
            <w:r w:rsidR="005F39BD">
              <w:t xml:space="preserve"> </w:t>
            </w:r>
            <w:r>
              <w:t>bound where relevant and approved through the management level properly authorized under the current DOA or other applicable governance requirement. An exception must not be used to bypass mandatory law, employee rights, Board or company governance authority, safety, security, investigation or evidence</w:t>
            </w:r>
            <w:r w:rsidR="005F39BD">
              <w:t xml:space="preserve"> </w:t>
            </w:r>
            <w:r>
              <w:t>preservation requirements.</w:t>
            </w:r>
          </w:p>
          <w:p w14:paraId="6D715FFC" w14:textId="77777777" w:rsidR="0008048F" w:rsidRDefault="00000000">
            <w:pPr>
              <w:spacing w:before="40" w:after="0"/>
            </w:pPr>
            <w:r>
              <w:t>Where an employee movement proceeds despite an identified Team Capacity Risk, the exception or approval record must state the reason for proceeding, the remaining risk, temporary controls or recovery action, responsible owner and review date.</w:t>
            </w:r>
          </w:p>
          <w:p w14:paraId="317C3644" w14:textId="77777777" w:rsidR="0008048F" w:rsidRDefault="00000000">
            <w:pPr>
              <w:spacing w:before="100" w:after="20"/>
            </w:pPr>
            <w:r>
              <w:rPr>
                <w:b/>
              </w:rPr>
              <w:t>14. Records and Confidentiality</w:t>
            </w:r>
          </w:p>
          <w:p w14:paraId="053AA1F4" w14:textId="25B34BB2" w:rsidR="0008048F" w:rsidRDefault="00000000">
            <w:pPr>
              <w:pStyle w:val="ListParagraph"/>
              <w:numPr>
                <w:ilvl w:val="0"/>
                <w:numId w:val="14"/>
              </w:numPr>
              <w:spacing w:after="0"/>
            </w:pPr>
            <w:r>
              <w:t>HR and the relevant record owner must retain transition records in line with SMSA record</w:t>
            </w:r>
            <w:r w:rsidR="005F39BD">
              <w:t xml:space="preserve"> </w:t>
            </w:r>
            <w:r>
              <w:t>retention requirements and any longer legal, regulatory, contractual, audit, investigation or litigation</w:t>
            </w:r>
            <w:r w:rsidR="005F39BD">
              <w:t xml:space="preserve"> </w:t>
            </w:r>
            <w:r>
              <w:t>hold requirement.</w:t>
            </w:r>
          </w:p>
          <w:p w14:paraId="3563B98D" w14:textId="40ECB569" w:rsidR="0008048F" w:rsidRDefault="00000000">
            <w:pPr>
              <w:pStyle w:val="ListParagraph"/>
              <w:numPr>
                <w:ilvl w:val="0"/>
                <w:numId w:val="14"/>
              </w:numPr>
              <w:spacing w:after="0"/>
            </w:pPr>
            <w:r>
              <w:t>Records should include, where relevant, the approved role change or transfer, acting/interim assignment, handover and open actions, authority/delegation approval, access and asset evidence, continuity or capacity assessment, risk/incident/escalation record, and Transition Register/post</w:t>
            </w:r>
            <w:r w:rsidR="005F39BD">
              <w:t xml:space="preserve"> </w:t>
            </w:r>
            <w:r>
              <w:t>transition review.</w:t>
            </w:r>
          </w:p>
          <w:p w14:paraId="4DD21AA2" w14:textId="780B8047" w:rsidR="0008048F" w:rsidRDefault="00000000">
            <w:pPr>
              <w:pStyle w:val="ListParagraph"/>
              <w:numPr>
                <w:ilvl w:val="0"/>
                <w:numId w:val="14"/>
              </w:numPr>
              <w:spacing w:after="0"/>
            </w:pPr>
            <w:r>
              <w:t>Employee, succession, performance, investigation and employee</w:t>
            </w:r>
            <w:r w:rsidR="005F39BD">
              <w:t xml:space="preserve"> </w:t>
            </w:r>
            <w:r>
              <w:t>relations information must be treated as confidential and shared only with authorized persons who need it for their work.</w:t>
            </w:r>
          </w:p>
          <w:p w14:paraId="10548C7A" w14:textId="77777777" w:rsidR="0008048F" w:rsidRDefault="00000000">
            <w:pPr>
              <w:spacing w:before="100" w:after="20"/>
            </w:pPr>
            <w:r>
              <w:rPr>
                <w:b/>
              </w:rPr>
              <w:t>15. Related SMSA Policies and Documents</w:t>
            </w:r>
          </w:p>
          <w:p w14:paraId="169DCCB6" w14:textId="77777777" w:rsidR="0008048F" w:rsidRDefault="00000000">
            <w:pPr>
              <w:pStyle w:val="ListParagraph"/>
              <w:numPr>
                <w:ilvl w:val="0"/>
                <w:numId w:val="14"/>
              </w:numPr>
              <w:spacing w:after="0"/>
            </w:pPr>
            <w:r>
              <w:t>current approved SMSA Delegation of Authority (DOA), approved organization structure and manpower records;</w:t>
            </w:r>
          </w:p>
          <w:p w14:paraId="3EC311EC" w14:textId="32942A0B" w:rsidR="0008048F" w:rsidRDefault="00000000">
            <w:pPr>
              <w:pStyle w:val="ListParagraph"/>
              <w:numPr>
                <w:ilvl w:val="0"/>
                <w:numId w:val="14"/>
              </w:numPr>
              <w:spacing w:after="0"/>
            </w:pPr>
            <w:r>
              <w:t>SMSA Job Description Policy and approved HR transfer, reassignment, recruitment, succession and employee</w:t>
            </w:r>
            <w:r w:rsidR="005F39BD">
              <w:t xml:space="preserve"> </w:t>
            </w:r>
            <w:r>
              <w:t>movement processes;</w:t>
            </w:r>
          </w:p>
          <w:p w14:paraId="5C93603A" w14:textId="051806A0" w:rsidR="0008048F" w:rsidRDefault="00000000">
            <w:pPr>
              <w:pStyle w:val="ListParagraph"/>
              <w:numPr>
                <w:ilvl w:val="0"/>
                <w:numId w:val="14"/>
              </w:numPr>
              <w:spacing w:after="0"/>
            </w:pPr>
            <w:r>
              <w:t>HR Recruitment &amp; Resignation Policy and applicable performance</w:t>
            </w:r>
            <w:r w:rsidR="005F39BD">
              <w:t xml:space="preserve"> </w:t>
            </w:r>
            <w:r>
              <w:t>management and disciplinary requirements;</w:t>
            </w:r>
          </w:p>
          <w:p w14:paraId="1CDF7494" w14:textId="77777777" w:rsidR="0008048F" w:rsidRDefault="00000000">
            <w:pPr>
              <w:pStyle w:val="ListParagraph"/>
              <w:numPr>
                <w:ilvl w:val="0"/>
                <w:numId w:val="14"/>
              </w:numPr>
              <w:spacing w:after="0"/>
            </w:pPr>
            <w:r>
              <w:t>SMSA Risk Management Policy and Incident and Investigation Procedure;</w:t>
            </w:r>
          </w:p>
          <w:p w14:paraId="43880DA2" w14:textId="77777777" w:rsidR="0008048F" w:rsidRDefault="00000000">
            <w:pPr>
              <w:pStyle w:val="ListParagraph"/>
              <w:numPr>
                <w:ilvl w:val="0"/>
                <w:numId w:val="14"/>
              </w:numPr>
              <w:spacing w:after="0"/>
            </w:pPr>
            <w:r>
              <w:t>Access Control Policy and Asset Management Policy; and</w:t>
            </w:r>
          </w:p>
          <w:p w14:paraId="557FDEB6" w14:textId="6121A504" w:rsidR="0008048F" w:rsidRDefault="00000000">
            <w:pPr>
              <w:pStyle w:val="ListParagraph"/>
              <w:numPr>
                <w:ilvl w:val="0"/>
                <w:numId w:val="14"/>
              </w:numPr>
              <w:spacing w:after="0"/>
            </w:pPr>
            <w:r>
              <w:t>applicable corporate</w:t>
            </w:r>
            <w:r w:rsidR="005F39BD">
              <w:t xml:space="preserve"> </w:t>
            </w:r>
            <w:r>
              <w:t>governance, Board/committee, legal, regulatory and country</w:t>
            </w:r>
            <w:r w:rsidR="005F39BD">
              <w:t xml:space="preserve"> </w:t>
            </w:r>
            <w:r>
              <w:t>employment requirements.</w:t>
            </w:r>
          </w:p>
          <w:p w14:paraId="258FC44F" w14:textId="77777777" w:rsidR="0008048F" w:rsidRDefault="00000000">
            <w:pPr>
              <w:spacing w:before="100" w:after="20"/>
            </w:pPr>
            <w:r>
              <w:rPr>
                <w:b/>
              </w:rPr>
              <w:t>16. Policy Review and Approval</w:t>
            </w:r>
          </w:p>
          <w:p w14:paraId="176ADC86" w14:textId="77777777" w:rsidR="0008048F" w:rsidRDefault="00000000">
            <w:pPr>
              <w:spacing w:after="0"/>
            </w:pPr>
            <w:r>
              <w:lastRenderedPageBreak/>
              <w:t>HRD must review this policy at least annually and earlier when major organizational, DOA, HR or legal/regulatory changes, transition failures, incidents, investigations or audit findings show a need. Amendments must follow SMSA governance and DOA requirements.</w:t>
            </w:r>
          </w:p>
        </w:tc>
      </w:tr>
    </w:tbl>
    <w:p w14:paraId="41039CED" w14:textId="77777777" w:rsidR="003050B7" w:rsidRPr="00C47958" w:rsidRDefault="003050B7" w:rsidP="001241FF">
      <w:pPr>
        <w:spacing w:after="0" w:line="20" w:lineRule="exact"/>
      </w:pPr>
    </w:p>
    <w:p w14:paraId="42A7FCC0" w14:textId="77777777" w:rsidR="00B50A6C" w:rsidRPr="00C47958" w:rsidRDefault="00B50A6C">
      <w:pPr>
        <w:spacing w:after="0" w:line="20" w:lineRule="exact"/>
      </w:pPr>
    </w:p>
    <w:sectPr w:rsidR="00B50A6C" w:rsidRPr="00C47958" w:rsidSect="00C8440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5EF0D" w14:textId="77777777" w:rsidR="005D3585" w:rsidRDefault="005D3585" w:rsidP="003050B7">
      <w:pPr>
        <w:spacing w:after="0"/>
      </w:pPr>
      <w:r>
        <w:separator/>
      </w:r>
    </w:p>
  </w:endnote>
  <w:endnote w:type="continuationSeparator" w:id="0">
    <w:p w14:paraId="0DF0AB76" w14:textId="77777777" w:rsidR="005D3585" w:rsidRDefault="005D3585" w:rsidP="003050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AA888" w14:textId="77777777" w:rsidR="00555B6A" w:rsidRPr="00B93592" w:rsidRDefault="00B93592" w:rsidP="002D6CD3">
    <w:pPr>
      <w:pStyle w:val="Footer"/>
      <w:rPr>
        <w:rFonts w:asciiTheme="minorHAnsi" w:hAnsiTheme="minorHAnsi" w:cstheme="minorHAnsi"/>
        <w:sz w:val="20"/>
        <w:szCs w:val="20"/>
      </w:rPr>
    </w:pPr>
    <w:r w:rsidRPr="00B93592">
      <w:rPr>
        <w:rFonts w:asciiTheme="minorHAnsi" w:eastAsia="Calibri" w:hAnsiTheme="minorHAnsi" w:cstheme="minorHAnsi"/>
        <w:sz w:val="18"/>
        <w:szCs w:val="20"/>
      </w:rPr>
      <w:t xml:space="preserve">Page </w:t>
    </w:r>
    <w:r w:rsidR="00BB7692" w:rsidRPr="00B93592">
      <w:rPr>
        <w:rFonts w:asciiTheme="minorHAnsi" w:eastAsia="Calibri" w:hAnsiTheme="minorHAnsi" w:cstheme="minorHAnsi"/>
        <w:b/>
        <w:sz w:val="18"/>
        <w:szCs w:val="20"/>
      </w:rPr>
      <w:fldChar w:fldCharType="begin"/>
    </w:r>
    <w:r w:rsidRPr="00B93592">
      <w:rPr>
        <w:rFonts w:asciiTheme="minorHAnsi" w:eastAsia="Calibri" w:hAnsiTheme="minorHAnsi" w:cstheme="minorHAnsi"/>
        <w:b/>
        <w:sz w:val="18"/>
        <w:szCs w:val="20"/>
      </w:rPr>
      <w:instrText xml:space="preserve"> PAGE </w:instrText>
    </w:r>
    <w:r w:rsidR="00BB7692" w:rsidRPr="00B93592">
      <w:rPr>
        <w:rFonts w:asciiTheme="minorHAnsi" w:eastAsia="Calibri" w:hAnsiTheme="minorHAnsi" w:cstheme="minorHAnsi"/>
        <w:b/>
        <w:sz w:val="18"/>
        <w:szCs w:val="20"/>
      </w:rPr>
      <w:fldChar w:fldCharType="separate"/>
    </w:r>
    <w:r w:rsidR="00813BD5">
      <w:rPr>
        <w:rFonts w:asciiTheme="minorHAnsi" w:eastAsia="Calibri" w:hAnsiTheme="minorHAnsi" w:cstheme="minorHAnsi"/>
        <w:b/>
        <w:noProof/>
        <w:sz w:val="18"/>
        <w:szCs w:val="20"/>
      </w:rPr>
      <w:t>11</w:t>
    </w:r>
    <w:r w:rsidR="00BB7692" w:rsidRPr="00B93592">
      <w:rPr>
        <w:rFonts w:asciiTheme="minorHAnsi" w:eastAsia="Calibri" w:hAnsiTheme="minorHAnsi" w:cstheme="minorHAnsi"/>
        <w:b/>
        <w:sz w:val="18"/>
        <w:szCs w:val="20"/>
      </w:rPr>
      <w:fldChar w:fldCharType="end"/>
    </w:r>
    <w:r w:rsidRPr="00B93592">
      <w:rPr>
        <w:rFonts w:asciiTheme="minorHAnsi" w:eastAsia="Calibri" w:hAnsiTheme="minorHAnsi" w:cstheme="minorHAnsi"/>
        <w:sz w:val="18"/>
        <w:szCs w:val="20"/>
      </w:rPr>
      <w:t xml:space="preserve"> of </w:t>
    </w:r>
    <w:r w:rsidR="00BB7692" w:rsidRPr="00B93592">
      <w:rPr>
        <w:rFonts w:asciiTheme="minorHAnsi" w:eastAsia="Calibri" w:hAnsiTheme="minorHAnsi" w:cstheme="minorHAnsi"/>
        <w:b/>
        <w:sz w:val="18"/>
        <w:szCs w:val="20"/>
      </w:rPr>
      <w:fldChar w:fldCharType="begin"/>
    </w:r>
    <w:r w:rsidRPr="00B93592">
      <w:rPr>
        <w:rFonts w:asciiTheme="minorHAnsi" w:eastAsia="Calibri" w:hAnsiTheme="minorHAnsi" w:cstheme="minorHAnsi"/>
        <w:b/>
        <w:sz w:val="18"/>
        <w:szCs w:val="20"/>
      </w:rPr>
      <w:instrText xml:space="preserve"> NUMPAGES  </w:instrText>
    </w:r>
    <w:r w:rsidR="00BB7692" w:rsidRPr="00B93592">
      <w:rPr>
        <w:rFonts w:asciiTheme="minorHAnsi" w:eastAsia="Calibri" w:hAnsiTheme="minorHAnsi" w:cstheme="minorHAnsi"/>
        <w:b/>
        <w:sz w:val="18"/>
        <w:szCs w:val="20"/>
      </w:rPr>
      <w:fldChar w:fldCharType="separate"/>
    </w:r>
    <w:r w:rsidR="00813BD5">
      <w:rPr>
        <w:rFonts w:asciiTheme="minorHAnsi" w:eastAsia="Calibri" w:hAnsiTheme="minorHAnsi" w:cstheme="minorHAnsi"/>
        <w:b/>
        <w:noProof/>
        <w:sz w:val="18"/>
        <w:szCs w:val="20"/>
      </w:rPr>
      <w:t>11</w:t>
    </w:r>
    <w:r w:rsidR="00BB7692" w:rsidRPr="00B93592">
      <w:rPr>
        <w:rFonts w:asciiTheme="minorHAnsi" w:eastAsia="Calibri" w:hAnsiTheme="minorHAnsi" w:cstheme="minorHAnsi"/>
        <w:b/>
        <w:sz w:val="18"/>
        <w:szCs w:val="20"/>
      </w:rPr>
      <w:fldChar w:fldCharType="end"/>
    </w:r>
    <w:r w:rsidRPr="00B93592">
      <w:rPr>
        <w:rFonts w:asciiTheme="minorHAnsi" w:eastAsia="Calibri" w:hAnsiTheme="minorHAnsi" w:cstheme="minorHAnsi"/>
        <w:sz w:val="18"/>
        <w:szCs w:val="20"/>
      </w:rPr>
      <w:ptab w:relativeTo="margin" w:alignment="center" w:leader="none"/>
    </w:r>
    <w:r w:rsidRPr="00B93592">
      <w:rPr>
        <w:rFonts w:asciiTheme="minorHAnsi" w:eastAsia="Calibri" w:hAnsiTheme="minorHAnsi" w:cstheme="minorHAnsi"/>
        <w:sz w:val="18"/>
        <w:szCs w:val="20"/>
      </w:rPr>
      <w:t>Uncontrolled copy if printed</w:t>
    </w:r>
    <w:r w:rsidRPr="00B93592">
      <w:rPr>
        <w:rFonts w:asciiTheme="minorHAnsi" w:eastAsia="Calibri" w:hAnsiTheme="minorHAnsi" w:cstheme="minorHAnsi"/>
        <w:sz w:val="18"/>
        <w:szCs w:val="20"/>
      </w:rPr>
      <w:ptab w:relativeTo="margin" w:alignment="right" w:leader="none"/>
    </w:r>
    <w:r w:rsidRPr="00B93592">
      <w:rPr>
        <w:rFonts w:asciiTheme="minorHAnsi" w:eastAsia="Calibri" w:hAnsiTheme="minorHAnsi" w:cstheme="minorHAnsi"/>
        <w:sz w:val="18"/>
        <w:szCs w:val="20"/>
      </w:rPr>
      <w:t xml:space="preserve"> </w:t>
    </w:r>
  </w:p>
  <w:p w14:paraId="58F04E2F" w14:textId="77777777" w:rsidR="00B93592" w:rsidRPr="00B93592" w:rsidRDefault="007038E5" w:rsidP="0040288F">
    <w:pPr>
      <w:pStyle w:val="Footer"/>
      <w:jc w:val="right"/>
      <w:rPr>
        <w:rFonts w:asciiTheme="minorHAnsi" w:hAnsiTheme="minorHAnsi" w:cstheme="minorHAnsi"/>
        <w:sz w:val="20"/>
        <w:szCs w:val="20"/>
      </w:rPr>
    </w:pPr>
    <w:r>
      <w:rPr>
        <w:rFonts w:asciiTheme="minorHAnsi" w:eastAsia="Calibri" w:hAnsiTheme="minorHAnsi" w:cstheme="minorHAnsi"/>
        <w:sz w:val="18"/>
        <w:szCs w:val="20"/>
      </w:rPr>
      <w:tab/>
    </w:r>
    <w:r>
      <w:rPr>
        <w:rFonts w:asciiTheme="minorHAnsi" w:eastAsia="Calibri" w:hAnsiTheme="minorHAnsi" w:cstheme="minorHAnsi"/>
        <w:sz w:val="18"/>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FFC17" w14:textId="77777777" w:rsidR="005D3585" w:rsidRDefault="005D3585" w:rsidP="003050B7">
      <w:pPr>
        <w:spacing w:after="0"/>
      </w:pPr>
      <w:r>
        <w:separator/>
      </w:r>
    </w:p>
  </w:footnote>
  <w:footnote w:type="continuationSeparator" w:id="0">
    <w:p w14:paraId="499F8276" w14:textId="77777777" w:rsidR="005D3585" w:rsidRDefault="005D3585" w:rsidP="003050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tblInd w:w="-432" w:type="dxa"/>
      <w:tblLook w:val="04A0" w:firstRow="1" w:lastRow="0" w:firstColumn="1" w:lastColumn="0" w:noHBand="0" w:noVBand="1"/>
    </w:tblPr>
    <w:tblGrid>
      <w:gridCol w:w="4230"/>
      <w:gridCol w:w="6390"/>
    </w:tblGrid>
    <w:tr w:rsidR="00607DB0" w:rsidRPr="003069FB" w14:paraId="1FD359F8" w14:textId="77777777" w:rsidTr="00980C86">
      <w:tc>
        <w:tcPr>
          <w:tcW w:w="4230" w:type="dxa"/>
        </w:tcPr>
        <w:p w14:paraId="3BA3757E" w14:textId="77777777" w:rsidR="00555B6A" w:rsidRPr="003069FB" w:rsidRDefault="00B93592" w:rsidP="003050B7">
          <w:pPr>
            <w:pStyle w:val="Header"/>
            <w:rPr>
              <w:b/>
              <w:noProof/>
              <w:sz w:val="28"/>
              <w:szCs w:val="28"/>
            </w:rPr>
          </w:pPr>
          <w:r>
            <w:rPr>
              <w:b/>
              <w:noProof/>
              <w:sz w:val="28"/>
              <w:szCs w:val="28"/>
            </w:rPr>
            <w:drawing>
              <wp:inline distT="0" distB="0" distL="0" distR="0" wp14:anchorId="3C113EDB" wp14:editId="7CA53225">
                <wp:extent cx="1349713" cy="342900"/>
                <wp:effectExtent l="19050" t="0" r="2837" b="0"/>
                <wp:docPr id="1" name="Picture 0" descr="official smsa logo 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 smsa logo en.png"/>
                        <pic:cNvPicPr/>
                      </pic:nvPicPr>
                      <pic:blipFill>
                        <a:blip r:embed="rId1"/>
                        <a:srcRect b="38054"/>
                        <a:stretch>
                          <a:fillRect/>
                        </a:stretch>
                      </pic:blipFill>
                      <pic:spPr>
                        <a:xfrm>
                          <a:off x="0" y="0"/>
                          <a:ext cx="1351983" cy="343477"/>
                        </a:xfrm>
                        <a:prstGeom prst="rect">
                          <a:avLst/>
                        </a:prstGeom>
                      </pic:spPr>
                    </pic:pic>
                  </a:graphicData>
                </a:graphic>
              </wp:inline>
            </w:drawing>
          </w:r>
        </w:p>
      </w:tc>
      <w:tc>
        <w:tcPr>
          <w:tcW w:w="6390" w:type="dxa"/>
          <w:tcMar>
            <w:top w:w="0" w:type="dxa"/>
            <w:left w:w="0" w:type="dxa"/>
            <w:bottom w:w="0" w:type="dxa"/>
            <w:right w:w="0" w:type="dxa"/>
          </w:tcMar>
        </w:tcPr>
        <w:p w14:paraId="08DF27A3" w14:textId="77777777" w:rsidR="00B04EFD" w:rsidRDefault="00B04EFD"/>
        <w:p w14:paraId="740048EA" w14:textId="77777777" w:rsidR="00B04EFD" w:rsidRPr="00027CD1" w:rsidRDefault="00DC1B94">
          <w:pPr>
            <w:spacing w:after="0"/>
            <w:jc w:val="right"/>
            <w:rPr>
              <w:sz w:val="28"/>
              <w:szCs w:val="28"/>
            </w:rPr>
          </w:pPr>
          <w:r w:rsidRPr="00027CD1">
            <w:rPr>
              <w:b/>
              <w:sz w:val="32"/>
              <w:szCs w:val="28"/>
            </w:rPr>
            <w:t>SMSA Personnel Transition Policy</w:t>
          </w:r>
        </w:p>
        <w:p w14:paraId="49FA3BC2" w14:textId="77777777" w:rsidR="00B04EFD" w:rsidRDefault="00000000">
          <w:pPr>
            <w:spacing w:after="0"/>
            <w:jc w:val="right"/>
          </w:pPr>
          <w:r>
            <w:rPr>
              <w:color w:val="000000"/>
              <w:sz w:val="18"/>
            </w:rPr>
            <w:t xml:space="preserve">Owner/ Department: HRD </w:t>
          </w:r>
        </w:p>
      </w:tc>
    </w:tr>
  </w:tbl>
  <w:p w14:paraId="0A2F466E" w14:textId="77777777" w:rsidR="00555B6A" w:rsidRPr="00607DB0" w:rsidRDefault="00555B6A" w:rsidP="00B93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2929"/>
    <w:multiLevelType w:val="multilevel"/>
    <w:tmpl w:val="62AA8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56B86"/>
    <w:multiLevelType w:val="hybridMultilevel"/>
    <w:tmpl w:val="A0AEA5C4"/>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A3F54"/>
    <w:multiLevelType w:val="hybridMultilevel"/>
    <w:tmpl w:val="6FC2E14A"/>
    <w:lvl w:ilvl="0" w:tplc="9FB20930">
      <w:numFmt w:val="bullet"/>
      <w:lvlText w:val="•"/>
      <w:lvlJc w:val="left"/>
      <w:pPr>
        <w:ind w:left="562" w:hanging="360"/>
      </w:pPr>
      <w:rPr>
        <w:rFonts w:ascii="Calibri" w:eastAsia="Calibri" w:hAnsi="Calibri" w:cs="Calibri" w:hint="default"/>
        <w:color w:val="000000"/>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3" w15:restartNumberingAfterBreak="0">
    <w:nsid w:val="1127260C"/>
    <w:multiLevelType w:val="hybridMultilevel"/>
    <w:tmpl w:val="B5588710"/>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CB5F29"/>
    <w:multiLevelType w:val="hybridMultilevel"/>
    <w:tmpl w:val="C110FCA0"/>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616B6"/>
    <w:multiLevelType w:val="multilevel"/>
    <w:tmpl w:val="F77E5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E6B54"/>
    <w:multiLevelType w:val="multilevel"/>
    <w:tmpl w:val="70D2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761322"/>
    <w:multiLevelType w:val="hybridMultilevel"/>
    <w:tmpl w:val="72E09098"/>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C5141"/>
    <w:multiLevelType w:val="multilevel"/>
    <w:tmpl w:val="C1D0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B9258D"/>
    <w:multiLevelType w:val="multilevel"/>
    <w:tmpl w:val="7E7C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170D22"/>
    <w:multiLevelType w:val="multilevel"/>
    <w:tmpl w:val="F852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C047B3"/>
    <w:multiLevelType w:val="hybridMultilevel"/>
    <w:tmpl w:val="B5760CB8"/>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9E6CF2"/>
    <w:multiLevelType w:val="hybridMultilevel"/>
    <w:tmpl w:val="ADDC44EC"/>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413CB"/>
    <w:multiLevelType w:val="multilevel"/>
    <w:tmpl w:val="E8E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27B3A"/>
    <w:multiLevelType w:val="hybridMultilevel"/>
    <w:tmpl w:val="5838C49E"/>
    <w:lvl w:ilvl="0" w:tplc="9FB20930">
      <w:numFmt w:val="bullet"/>
      <w:lvlText w:val="•"/>
      <w:lvlJc w:val="left"/>
      <w:pPr>
        <w:ind w:left="461" w:hanging="360"/>
      </w:pPr>
      <w:rPr>
        <w:rFonts w:ascii="Calibri" w:eastAsia="Calibri" w:hAnsi="Calibri" w:cs="Calibri"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C1C7C"/>
    <w:multiLevelType w:val="multilevel"/>
    <w:tmpl w:val="1206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A91E87"/>
    <w:multiLevelType w:val="hybridMultilevel"/>
    <w:tmpl w:val="AD5E74F8"/>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64C04"/>
    <w:multiLevelType w:val="hybridMultilevel"/>
    <w:tmpl w:val="FA3A3084"/>
    <w:lvl w:ilvl="0" w:tplc="9FB20930">
      <w:numFmt w:val="bullet"/>
      <w:lvlText w:val="•"/>
      <w:lvlJc w:val="left"/>
      <w:pPr>
        <w:ind w:left="562" w:hanging="360"/>
      </w:pPr>
      <w:rPr>
        <w:rFonts w:ascii="Calibri" w:eastAsia="Calibri" w:hAnsi="Calibri" w:cs="Calibri" w:hint="default"/>
        <w:color w:val="000000"/>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8" w15:restartNumberingAfterBreak="0">
    <w:nsid w:val="5D03788D"/>
    <w:multiLevelType w:val="multilevel"/>
    <w:tmpl w:val="21D4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57510D"/>
    <w:multiLevelType w:val="hybridMultilevel"/>
    <w:tmpl w:val="4A8ADF6E"/>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D515E0"/>
    <w:multiLevelType w:val="hybridMultilevel"/>
    <w:tmpl w:val="C8003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46512E"/>
    <w:multiLevelType w:val="hybridMultilevel"/>
    <w:tmpl w:val="21144E36"/>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B808B9"/>
    <w:multiLevelType w:val="multilevel"/>
    <w:tmpl w:val="155E38BA"/>
    <w:lvl w:ilvl="0">
      <w:start w:val="1"/>
      <w:numFmt w:val="decimal"/>
      <w:pStyle w:val="AJMBNK-Heading1"/>
      <w:lvlText w:val="%1"/>
      <w:lvlJc w:val="left"/>
      <w:pPr>
        <w:ind w:left="432" w:hanging="432"/>
      </w:pPr>
      <w:rPr>
        <w:rFonts w:hint="default"/>
      </w:rPr>
    </w:lvl>
    <w:lvl w:ilvl="1">
      <w:start w:val="1"/>
      <w:numFmt w:val="decimal"/>
      <w:pStyle w:val="AJMBNK-Heading2"/>
      <w:lvlText w:val="%1.%2"/>
      <w:lvlJc w:val="left"/>
      <w:pPr>
        <w:ind w:left="576" w:hanging="576"/>
      </w:pPr>
      <w:rPr>
        <w:rFonts w:hint="default"/>
        <w:color w:val="auto"/>
      </w:rPr>
    </w:lvl>
    <w:lvl w:ilvl="2">
      <w:start w:val="1"/>
      <w:numFmt w:val="decimal"/>
      <w:pStyle w:val="H3-AJMBNK"/>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71836C27"/>
    <w:multiLevelType w:val="hybridMultilevel"/>
    <w:tmpl w:val="A42CA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E3727B"/>
    <w:multiLevelType w:val="hybridMultilevel"/>
    <w:tmpl w:val="3DC88A02"/>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5" w15:restartNumberingAfterBreak="0">
    <w:nsid w:val="757A1DFA"/>
    <w:multiLevelType w:val="multilevel"/>
    <w:tmpl w:val="70B6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EA14BF"/>
    <w:multiLevelType w:val="hybridMultilevel"/>
    <w:tmpl w:val="29A0579A"/>
    <w:lvl w:ilvl="0" w:tplc="9FB20930">
      <w:numFmt w:val="bullet"/>
      <w:lvlText w:val="•"/>
      <w:lvlJc w:val="left"/>
      <w:pPr>
        <w:ind w:left="461" w:hanging="360"/>
      </w:pPr>
      <w:rPr>
        <w:rFonts w:ascii="Calibri" w:eastAsia="Calibri" w:hAnsi="Calibri" w:cs="Calibri"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3A30E6"/>
    <w:multiLevelType w:val="hybridMultilevel"/>
    <w:tmpl w:val="2AEE34C0"/>
    <w:lvl w:ilvl="0" w:tplc="9FB20930">
      <w:numFmt w:val="bullet"/>
      <w:lvlText w:val="•"/>
      <w:lvlJc w:val="left"/>
      <w:pPr>
        <w:ind w:left="461" w:hanging="360"/>
      </w:pPr>
      <w:rPr>
        <w:rFonts w:ascii="Calibri" w:eastAsia="Calibri"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3E3322"/>
    <w:multiLevelType w:val="multilevel"/>
    <w:tmpl w:val="C832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07947">
    <w:abstractNumId w:val="22"/>
  </w:num>
  <w:num w:numId="2" w16cid:durableId="841895994">
    <w:abstractNumId w:val="2"/>
  </w:num>
  <w:num w:numId="3" w16cid:durableId="1615675901">
    <w:abstractNumId w:val="17"/>
  </w:num>
  <w:num w:numId="4" w16cid:durableId="199049287">
    <w:abstractNumId w:val="14"/>
  </w:num>
  <w:num w:numId="5" w16cid:durableId="1917157294">
    <w:abstractNumId w:val="3"/>
  </w:num>
  <w:num w:numId="6" w16cid:durableId="939069359">
    <w:abstractNumId w:val="19"/>
  </w:num>
  <w:num w:numId="7" w16cid:durableId="95295320">
    <w:abstractNumId w:val="16"/>
  </w:num>
  <w:num w:numId="8" w16cid:durableId="1308434937">
    <w:abstractNumId w:val="1"/>
  </w:num>
  <w:num w:numId="9" w16cid:durableId="564487372">
    <w:abstractNumId w:val="12"/>
  </w:num>
  <w:num w:numId="10" w16cid:durableId="158740903">
    <w:abstractNumId w:val="7"/>
  </w:num>
  <w:num w:numId="11" w16cid:durableId="982853423">
    <w:abstractNumId w:val="21"/>
  </w:num>
  <w:num w:numId="12" w16cid:durableId="2017998241">
    <w:abstractNumId w:val="4"/>
  </w:num>
  <w:num w:numId="13" w16cid:durableId="1324816698">
    <w:abstractNumId w:val="27"/>
  </w:num>
  <w:num w:numId="14" w16cid:durableId="237135781">
    <w:abstractNumId w:val="26"/>
  </w:num>
  <w:num w:numId="15" w16cid:durableId="1687361014">
    <w:abstractNumId w:val="11"/>
  </w:num>
  <w:num w:numId="16" w16cid:durableId="276568942">
    <w:abstractNumId w:val="13"/>
  </w:num>
  <w:num w:numId="17" w16cid:durableId="246959381">
    <w:abstractNumId w:val="23"/>
  </w:num>
  <w:num w:numId="18" w16cid:durableId="922447628">
    <w:abstractNumId w:val="20"/>
  </w:num>
  <w:num w:numId="19" w16cid:durableId="2124690796">
    <w:abstractNumId w:val="18"/>
  </w:num>
  <w:num w:numId="20" w16cid:durableId="1247421982">
    <w:abstractNumId w:val="15"/>
  </w:num>
  <w:num w:numId="21" w16cid:durableId="2108767255">
    <w:abstractNumId w:val="6"/>
  </w:num>
  <w:num w:numId="22" w16cid:durableId="1248230818">
    <w:abstractNumId w:val="25"/>
  </w:num>
  <w:num w:numId="23" w16cid:durableId="348456339">
    <w:abstractNumId w:val="28"/>
  </w:num>
  <w:num w:numId="24" w16cid:durableId="1071657714">
    <w:abstractNumId w:val="5"/>
  </w:num>
  <w:num w:numId="25" w16cid:durableId="2049914809">
    <w:abstractNumId w:val="8"/>
  </w:num>
  <w:num w:numId="26" w16cid:durableId="571625648">
    <w:abstractNumId w:val="0"/>
  </w:num>
  <w:num w:numId="27" w16cid:durableId="769744829">
    <w:abstractNumId w:val="9"/>
  </w:num>
  <w:num w:numId="28" w16cid:durableId="885524784">
    <w:abstractNumId w:val="10"/>
  </w:num>
  <w:num w:numId="29" w16cid:durableId="114466651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0B7"/>
    <w:rsid w:val="000002C8"/>
    <w:rsid w:val="0000200C"/>
    <w:rsid w:val="000034A0"/>
    <w:rsid w:val="00003C93"/>
    <w:rsid w:val="000042AA"/>
    <w:rsid w:val="00005379"/>
    <w:rsid w:val="0000678F"/>
    <w:rsid w:val="00006CDD"/>
    <w:rsid w:val="00006DB4"/>
    <w:rsid w:val="00006E43"/>
    <w:rsid w:val="00007F8E"/>
    <w:rsid w:val="0001023F"/>
    <w:rsid w:val="00011BDF"/>
    <w:rsid w:val="00011CFB"/>
    <w:rsid w:val="000128B5"/>
    <w:rsid w:val="00012F26"/>
    <w:rsid w:val="00013632"/>
    <w:rsid w:val="00013F2A"/>
    <w:rsid w:val="00015AD0"/>
    <w:rsid w:val="000226CC"/>
    <w:rsid w:val="00022776"/>
    <w:rsid w:val="00023B75"/>
    <w:rsid w:val="00027CD1"/>
    <w:rsid w:val="00027D5C"/>
    <w:rsid w:val="00033B1D"/>
    <w:rsid w:val="000355EC"/>
    <w:rsid w:val="00036E79"/>
    <w:rsid w:val="00042D27"/>
    <w:rsid w:val="00043891"/>
    <w:rsid w:val="00044CF3"/>
    <w:rsid w:val="000450EC"/>
    <w:rsid w:val="000457BC"/>
    <w:rsid w:val="00045A41"/>
    <w:rsid w:val="000467EF"/>
    <w:rsid w:val="0004681F"/>
    <w:rsid w:val="000469DE"/>
    <w:rsid w:val="00046DDB"/>
    <w:rsid w:val="00054D03"/>
    <w:rsid w:val="000560DE"/>
    <w:rsid w:val="0006049B"/>
    <w:rsid w:val="0006086F"/>
    <w:rsid w:val="0006162A"/>
    <w:rsid w:val="0006546A"/>
    <w:rsid w:val="00065CC6"/>
    <w:rsid w:val="00067C6B"/>
    <w:rsid w:val="000712E3"/>
    <w:rsid w:val="00071AA5"/>
    <w:rsid w:val="0007299C"/>
    <w:rsid w:val="0007490B"/>
    <w:rsid w:val="00075B32"/>
    <w:rsid w:val="0007655E"/>
    <w:rsid w:val="00076663"/>
    <w:rsid w:val="00076838"/>
    <w:rsid w:val="000776A6"/>
    <w:rsid w:val="0007778B"/>
    <w:rsid w:val="0008048F"/>
    <w:rsid w:val="00081340"/>
    <w:rsid w:val="00082519"/>
    <w:rsid w:val="00082C6F"/>
    <w:rsid w:val="00083AEC"/>
    <w:rsid w:val="00084436"/>
    <w:rsid w:val="00084836"/>
    <w:rsid w:val="00087058"/>
    <w:rsid w:val="000913A1"/>
    <w:rsid w:val="00091434"/>
    <w:rsid w:val="00092120"/>
    <w:rsid w:val="00093AEC"/>
    <w:rsid w:val="00093C81"/>
    <w:rsid w:val="00093D3B"/>
    <w:rsid w:val="00094575"/>
    <w:rsid w:val="000A15FB"/>
    <w:rsid w:val="000A1651"/>
    <w:rsid w:val="000A1CE4"/>
    <w:rsid w:val="000A2BDB"/>
    <w:rsid w:val="000A3096"/>
    <w:rsid w:val="000A49CC"/>
    <w:rsid w:val="000A52ED"/>
    <w:rsid w:val="000A54C8"/>
    <w:rsid w:val="000A6852"/>
    <w:rsid w:val="000B3C10"/>
    <w:rsid w:val="000B3F36"/>
    <w:rsid w:val="000B3F6A"/>
    <w:rsid w:val="000B43E5"/>
    <w:rsid w:val="000B50B2"/>
    <w:rsid w:val="000C1B25"/>
    <w:rsid w:val="000C2592"/>
    <w:rsid w:val="000C31D4"/>
    <w:rsid w:val="000C4EF7"/>
    <w:rsid w:val="000C4F3C"/>
    <w:rsid w:val="000C5510"/>
    <w:rsid w:val="000C5D20"/>
    <w:rsid w:val="000C5F24"/>
    <w:rsid w:val="000D015E"/>
    <w:rsid w:val="000D0D2A"/>
    <w:rsid w:val="000D0F4C"/>
    <w:rsid w:val="000D2AEC"/>
    <w:rsid w:val="000D2CA3"/>
    <w:rsid w:val="000D51A2"/>
    <w:rsid w:val="000D51C3"/>
    <w:rsid w:val="000D7161"/>
    <w:rsid w:val="000D7172"/>
    <w:rsid w:val="000D7327"/>
    <w:rsid w:val="000D7338"/>
    <w:rsid w:val="000E18E3"/>
    <w:rsid w:val="000E1E0E"/>
    <w:rsid w:val="000E1FEE"/>
    <w:rsid w:val="000E21AA"/>
    <w:rsid w:val="000E25A6"/>
    <w:rsid w:val="000E2769"/>
    <w:rsid w:val="000E3AE2"/>
    <w:rsid w:val="000E4D6D"/>
    <w:rsid w:val="000E6A5D"/>
    <w:rsid w:val="000E6E77"/>
    <w:rsid w:val="000E79B3"/>
    <w:rsid w:val="000F01F0"/>
    <w:rsid w:val="000F1612"/>
    <w:rsid w:val="000F201C"/>
    <w:rsid w:val="000F2875"/>
    <w:rsid w:val="000F2C6F"/>
    <w:rsid w:val="000F2CEF"/>
    <w:rsid w:val="000F5669"/>
    <w:rsid w:val="000F5C42"/>
    <w:rsid w:val="000F5CB8"/>
    <w:rsid w:val="000F5E99"/>
    <w:rsid w:val="000F67A6"/>
    <w:rsid w:val="000F6955"/>
    <w:rsid w:val="000F716F"/>
    <w:rsid w:val="000F7199"/>
    <w:rsid w:val="000F7DDD"/>
    <w:rsid w:val="001002EE"/>
    <w:rsid w:val="0010132B"/>
    <w:rsid w:val="001020CE"/>
    <w:rsid w:val="00102A7E"/>
    <w:rsid w:val="0010346B"/>
    <w:rsid w:val="001038B8"/>
    <w:rsid w:val="00103C4A"/>
    <w:rsid w:val="0010427C"/>
    <w:rsid w:val="001056B1"/>
    <w:rsid w:val="001062A5"/>
    <w:rsid w:val="00106C5D"/>
    <w:rsid w:val="00107BA9"/>
    <w:rsid w:val="001100E9"/>
    <w:rsid w:val="001141FB"/>
    <w:rsid w:val="001143D9"/>
    <w:rsid w:val="00114513"/>
    <w:rsid w:val="00114F40"/>
    <w:rsid w:val="001171F0"/>
    <w:rsid w:val="00120501"/>
    <w:rsid w:val="00120F9E"/>
    <w:rsid w:val="00120FF5"/>
    <w:rsid w:val="00121CC5"/>
    <w:rsid w:val="001221B2"/>
    <w:rsid w:val="001224D9"/>
    <w:rsid w:val="00123775"/>
    <w:rsid w:val="00123BE5"/>
    <w:rsid w:val="00124239"/>
    <w:rsid w:val="00124350"/>
    <w:rsid w:val="0012621D"/>
    <w:rsid w:val="001274B5"/>
    <w:rsid w:val="0012787B"/>
    <w:rsid w:val="00130463"/>
    <w:rsid w:val="00130873"/>
    <w:rsid w:val="00130F35"/>
    <w:rsid w:val="00131DD1"/>
    <w:rsid w:val="00132341"/>
    <w:rsid w:val="0013328C"/>
    <w:rsid w:val="001334F0"/>
    <w:rsid w:val="001335F8"/>
    <w:rsid w:val="00134383"/>
    <w:rsid w:val="001349AA"/>
    <w:rsid w:val="00135C7D"/>
    <w:rsid w:val="0013622E"/>
    <w:rsid w:val="00136311"/>
    <w:rsid w:val="00136541"/>
    <w:rsid w:val="00140464"/>
    <w:rsid w:val="00142017"/>
    <w:rsid w:val="00143263"/>
    <w:rsid w:val="00143BF6"/>
    <w:rsid w:val="00144310"/>
    <w:rsid w:val="00144BBB"/>
    <w:rsid w:val="001468DD"/>
    <w:rsid w:val="00146E96"/>
    <w:rsid w:val="00147C4F"/>
    <w:rsid w:val="0015082C"/>
    <w:rsid w:val="00150C78"/>
    <w:rsid w:val="00150E9B"/>
    <w:rsid w:val="00151851"/>
    <w:rsid w:val="00151C76"/>
    <w:rsid w:val="00152873"/>
    <w:rsid w:val="001537AD"/>
    <w:rsid w:val="0015389E"/>
    <w:rsid w:val="00153F99"/>
    <w:rsid w:val="00154B97"/>
    <w:rsid w:val="00154F40"/>
    <w:rsid w:val="00154F4F"/>
    <w:rsid w:val="0015707A"/>
    <w:rsid w:val="0015716A"/>
    <w:rsid w:val="001578E3"/>
    <w:rsid w:val="00157FF6"/>
    <w:rsid w:val="00160FF7"/>
    <w:rsid w:val="00161C73"/>
    <w:rsid w:val="0016324F"/>
    <w:rsid w:val="00163B75"/>
    <w:rsid w:val="001642D3"/>
    <w:rsid w:val="0016530C"/>
    <w:rsid w:val="0016532D"/>
    <w:rsid w:val="001657CF"/>
    <w:rsid w:val="001663B6"/>
    <w:rsid w:val="001667EE"/>
    <w:rsid w:val="0017018C"/>
    <w:rsid w:val="001706F7"/>
    <w:rsid w:val="00170ADF"/>
    <w:rsid w:val="001713C4"/>
    <w:rsid w:val="001714D6"/>
    <w:rsid w:val="0017161E"/>
    <w:rsid w:val="00172184"/>
    <w:rsid w:val="00172B6B"/>
    <w:rsid w:val="00172F06"/>
    <w:rsid w:val="001737E8"/>
    <w:rsid w:val="00174AA5"/>
    <w:rsid w:val="00174F9E"/>
    <w:rsid w:val="00176A7D"/>
    <w:rsid w:val="00176E5C"/>
    <w:rsid w:val="001775FD"/>
    <w:rsid w:val="00177FA6"/>
    <w:rsid w:val="001814F0"/>
    <w:rsid w:val="00181B19"/>
    <w:rsid w:val="00181C88"/>
    <w:rsid w:val="0018213E"/>
    <w:rsid w:val="00182F0E"/>
    <w:rsid w:val="00183ACC"/>
    <w:rsid w:val="00183AD4"/>
    <w:rsid w:val="00183BCF"/>
    <w:rsid w:val="001842E1"/>
    <w:rsid w:val="00185001"/>
    <w:rsid w:val="00186AC4"/>
    <w:rsid w:val="0018742A"/>
    <w:rsid w:val="001918F1"/>
    <w:rsid w:val="00192208"/>
    <w:rsid w:val="00192FC9"/>
    <w:rsid w:val="001933F4"/>
    <w:rsid w:val="00195BAF"/>
    <w:rsid w:val="00196F65"/>
    <w:rsid w:val="001978CB"/>
    <w:rsid w:val="001A012A"/>
    <w:rsid w:val="001A2878"/>
    <w:rsid w:val="001A3432"/>
    <w:rsid w:val="001A44F6"/>
    <w:rsid w:val="001A5197"/>
    <w:rsid w:val="001A6502"/>
    <w:rsid w:val="001A666A"/>
    <w:rsid w:val="001A6E50"/>
    <w:rsid w:val="001A71F3"/>
    <w:rsid w:val="001B0106"/>
    <w:rsid w:val="001B0970"/>
    <w:rsid w:val="001B1B33"/>
    <w:rsid w:val="001B777E"/>
    <w:rsid w:val="001C3B33"/>
    <w:rsid w:val="001C5240"/>
    <w:rsid w:val="001C546F"/>
    <w:rsid w:val="001C67AC"/>
    <w:rsid w:val="001D1441"/>
    <w:rsid w:val="001D1F91"/>
    <w:rsid w:val="001D37CD"/>
    <w:rsid w:val="001D3DBB"/>
    <w:rsid w:val="001D453A"/>
    <w:rsid w:val="001D52B8"/>
    <w:rsid w:val="001D5CED"/>
    <w:rsid w:val="001D66BB"/>
    <w:rsid w:val="001D6893"/>
    <w:rsid w:val="001D69C2"/>
    <w:rsid w:val="001D69D7"/>
    <w:rsid w:val="001D6E71"/>
    <w:rsid w:val="001D72A4"/>
    <w:rsid w:val="001D7D20"/>
    <w:rsid w:val="001E0D40"/>
    <w:rsid w:val="001E20DF"/>
    <w:rsid w:val="001E227C"/>
    <w:rsid w:val="001E2289"/>
    <w:rsid w:val="001E2744"/>
    <w:rsid w:val="001E3E63"/>
    <w:rsid w:val="001E44D7"/>
    <w:rsid w:val="001E53AC"/>
    <w:rsid w:val="001E5D18"/>
    <w:rsid w:val="001F0847"/>
    <w:rsid w:val="001F1483"/>
    <w:rsid w:val="001F18E1"/>
    <w:rsid w:val="001F2432"/>
    <w:rsid w:val="001F2F32"/>
    <w:rsid w:val="001F3756"/>
    <w:rsid w:val="001F4BE8"/>
    <w:rsid w:val="001F5D32"/>
    <w:rsid w:val="001F774B"/>
    <w:rsid w:val="00200699"/>
    <w:rsid w:val="00200881"/>
    <w:rsid w:val="00200A42"/>
    <w:rsid w:val="00200C61"/>
    <w:rsid w:val="00202515"/>
    <w:rsid w:val="00204087"/>
    <w:rsid w:val="002057E1"/>
    <w:rsid w:val="00205EDC"/>
    <w:rsid w:val="00206022"/>
    <w:rsid w:val="002076CC"/>
    <w:rsid w:val="00211E8F"/>
    <w:rsid w:val="00211F10"/>
    <w:rsid w:val="00212761"/>
    <w:rsid w:val="00213B5D"/>
    <w:rsid w:val="00214993"/>
    <w:rsid w:val="002153B2"/>
    <w:rsid w:val="00215740"/>
    <w:rsid w:val="00215AF0"/>
    <w:rsid w:val="00216B21"/>
    <w:rsid w:val="0021741E"/>
    <w:rsid w:val="00217429"/>
    <w:rsid w:val="0022002C"/>
    <w:rsid w:val="00220920"/>
    <w:rsid w:val="00220B50"/>
    <w:rsid w:val="00220D86"/>
    <w:rsid w:val="002219F4"/>
    <w:rsid w:val="0022291A"/>
    <w:rsid w:val="00222FD7"/>
    <w:rsid w:val="00223927"/>
    <w:rsid w:val="002254CD"/>
    <w:rsid w:val="00225923"/>
    <w:rsid w:val="002266CE"/>
    <w:rsid w:val="00227CF1"/>
    <w:rsid w:val="00230DF0"/>
    <w:rsid w:val="00231823"/>
    <w:rsid w:val="00234042"/>
    <w:rsid w:val="00234799"/>
    <w:rsid w:val="00234EBB"/>
    <w:rsid w:val="00236CD6"/>
    <w:rsid w:val="00236EA7"/>
    <w:rsid w:val="00236F36"/>
    <w:rsid w:val="002412F9"/>
    <w:rsid w:val="00243A2F"/>
    <w:rsid w:val="00244D4C"/>
    <w:rsid w:val="00245FC5"/>
    <w:rsid w:val="00246841"/>
    <w:rsid w:val="00250456"/>
    <w:rsid w:val="00252F92"/>
    <w:rsid w:val="0025359F"/>
    <w:rsid w:val="002538DA"/>
    <w:rsid w:val="00253EEF"/>
    <w:rsid w:val="00254387"/>
    <w:rsid w:val="002545FE"/>
    <w:rsid w:val="00257124"/>
    <w:rsid w:val="002575A1"/>
    <w:rsid w:val="00261B9D"/>
    <w:rsid w:val="00262702"/>
    <w:rsid w:val="00262790"/>
    <w:rsid w:val="00265FB0"/>
    <w:rsid w:val="00266002"/>
    <w:rsid w:val="002660D7"/>
    <w:rsid w:val="00266294"/>
    <w:rsid w:val="00266475"/>
    <w:rsid w:val="00266CDF"/>
    <w:rsid w:val="00271DBA"/>
    <w:rsid w:val="0027312D"/>
    <w:rsid w:val="002754C3"/>
    <w:rsid w:val="00277DB8"/>
    <w:rsid w:val="0028000C"/>
    <w:rsid w:val="00280416"/>
    <w:rsid w:val="00283F77"/>
    <w:rsid w:val="002844D8"/>
    <w:rsid w:val="002844DB"/>
    <w:rsid w:val="00284E3A"/>
    <w:rsid w:val="00285BD4"/>
    <w:rsid w:val="00286002"/>
    <w:rsid w:val="00286B7A"/>
    <w:rsid w:val="00287EFE"/>
    <w:rsid w:val="00290535"/>
    <w:rsid w:val="00290536"/>
    <w:rsid w:val="0029076D"/>
    <w:rsid w:val="00290BC7"/>
    <w:rsid w:val="00293E15"/>
    <w:rsid w:val="00294A9D"/>
    <w:rsid w:val="00295818"/>
    <w:rsid w:val="002A350C"/>
    <w:rsid w:val="002A4501"/>
    <w:rsid w:val="002A4AED"/>
    <w:rsid w:val="002B0B16"/>
    <w:rsid w:val="002B1B14"/>
    <w:rsid w:val="002B36E5"/>
    <w:rsid w:val="002B3964"/>
    <w:rsid w:val="002B4813"/>
    <w:rsid w:val="002C1178"/>
    <w:rsid w:val="002C25D0"/>
    <w:rsid w:val="002C3464"/>
    <w:rsid w:val="002C3A10"/>
    <w:rsid w:val="002C59D2"/>
    <w:rsid w:val="002C62B0"/>
    <w:rsid w:val="002C6603"/>
    <w:rsid w:val="002C684C"/>
    <w:rsid w:val="002C6F5B"/>
    <w:rsid w:val="002D2340"/>
    <w:rsid w:val="002D2428"/>
    <w:rsid w:val="002D329B"/>
    <w:rsid w:val="002D3C4C"/>
    <w:rsid w:val="002D4ED2"/>
    <w:rsid w:val="002D6CD3"/>
    <w:rsid w:val="002D7270"/>
    <w:rsid w:val="002D7DFD"/>
    <w:rsid w:val="002D7E9E"/>
    <w:rsid w:val="002E0559"/>
    <w:rsid w:val="002E2F50"/>
    <w:rsid w:val="002E3A91"/>
    <w:rsid w:val="002E3C2E"/>
    <w:rsid w:val="002E575C"/>
    <w:rsid w:val="002E6EC8"/>
    <w:rsid w:val="002F0730"/>
    <w:rsid w:val="002F2A2D"/>
    <w:rsid w:val="002F2B00"/>
    <w:rsid w:val="002F37E9"/>
    <w:rsid w:val="002F4991"/>
    <w:rsid w:val="002F50B7"/>
    <w:rsid w:val="002F6962"/>
    <w:rsid w:val="002F6B28"/>
    <w:rsid w:val="002F6C19"/>
    <w:rsid w:val="0030052B"/>
    <w:rsid w:val="00301C77"/>
    <w:rsid w:val="00301F04"/>
    <w:rsid w:val="003020A5"/>
    <w:rsid w:val="003050B7"/>
    <w:rsid w:val="0030667F"/>
    <w:rsid w:val="00306B09"/>
    <w:rsid w:val="00310064"/>
    <w:rsid w:val="00310E06"/>
    <w:rsid w:val="003115C9"/>
    <w:rsid w:val="00314191"/>
    <w:rsid w:val="00314306"/>
    <w:rsid w:val="003147AA"/>
    <w:rsid w:val="00315206"/>
    <w:rsid w:val="00320552"/>
    <w:rsid w:val="003208FE"/>
    <w:rsid w:val="0032148F"/>
    <w:rsid w:val="0032154B"/>
    <w:rsid w:val="0032195C"/>
    <w:rsid w:val="00321EF0"/>
    <w:rsid w:val="00325039"/>
    <w:rsid w:val="00326A67"/>
    <w:rsid w:val="00331E52"/>
    <w:rsid w:val="00333055"/>
    <w:rsid w:val="00335341"/>
    <w:rsid w:val="00335C3C"/>
    <w:rsid w:val="003375E8"/>
    <w:rsid w:val="00340D21"/>
    <w:rsid w:val="00343277"/>
    <w:rsid w:val="00343F05"/>
    <w:rsid w:val="0034530A"/>
    <w:rsid w:val="00345AF4"/>
    <w:rsid w:val="00345ECE"/>
    <w:rsid w:val="003463B9"/>
    <w:rsid w:val="00350138"/>
    <w:rsid w:val="00350AE4"/>
    <w:rsid w:val="00350C7F"/>
    <w:rsid w:val="00353254"/>
    <w:rsid w:val="00357416"/>
    <w:rsid w:val="0036179F"/>
    <w:rsid w:val="003630D2"/>
    <w:rsid w:val="0036391C"/>
    <w:rsid w:val="00363CE0"/>
    <w:rsid w:val="00364EF9"/>
    <w:rsid w:val="003652DC"/>
    <w:rsid w:val="003678E1"/>
    <w:rsid w:val="00367EDD"/>
    <w:rsid w:val="00370FD9"/>
    <w:rsid w:val="0037100B"/>
    <w:rsid w:val="003724F7"/>
    <w:rsid w:val="003726B3"/>
    <w:rsid w:val="0037437B"/>
    <w:rsid w:val="00377A60"/>
    <w:rsid w:val="00377A8B"/>
    <w:rsid w:val="0038019D"/>
    <w:rsid w:val="003817FB"/>
    <w:rsid w:val="0038181C"/>
    <w:rsid w:val="00384050"/>
    <w:rsid w:val="00385351"/>
    <w:rsid w:val="003856DC"/>
    <w:rsid w:val="003869ED"/>
    <w:rsid w:val="00387283"/>
    <w:rsid w:val="003877C3"/>
    <w:rsid w:val="00391CAE"/>
    <w:rsid w:val="00392D08"/>
    <w:rsid w:val="00392E2D"/>
    <w:rsid w:val="00395F13"/>
    <w:rsid w:val="0039764A"/>
    <w:rsid w:val="00397686"/>
    <w:rsid w:val="00397767"/>
    <w:rsid w:val="003A04FB"/>
    <w:rsid w:val="003A2721"/>
    <w:rsid w:val="003A34D4"/>
    <w:rsid w:val="003A43EB"/>
    <w:rsid w:val="003A4F6D"/>
    <w:rsid w:val="003A5599"/>
    <w:rsid w:val="003A571C"/>
    <w:rsid w:val="003A6834"/>
    <w:rsid w:val="003A7814"/>
    <w:rsid w:val="003B01B2"/>
    <w:rsid w:val="003B03D7"/>
    <w:rsid w:val="003B10EB"/>
    <w:rsid w:val="003B12DD"/>
    <w:rsid w:val="003B16C5"/>
    <w:rsid w:val="003B34F0"/>
    <w:rsid w:val="003B51D3"/>
    <w:rsid w:val="003B5C4F"/>
    <w:rsid w:val="003B5E14"/>
    <w:rsid w:val="003B76B3"/>
    <w:rsid w:val="003B7F77"/>
    <w:rsid w:val="003C309D"/>
    <w:rsid w:val="003C397B"/>
    <w:rsid w:val="003C3996"/>
    <w:rsid w:val="003C3DB8"/>
    <w:rsid w:val="003C4E00"/>
    <w:rsid w:val="003D1CC5"/>
    <w:rsid w:val="003D4B1B"/>
    <w:rsid w:val="003D50F3"/>
    <w:rsid w:val="003D54E9"/>
    <w:rsid w:val="003D657D"/>
    <w:rsid w:val="003E1AFF"/>
    <w:rsid w:val="003E313C"/>
    <w:rsid w:val="003E3DD1"/>
    <w:rsid w:val="003E5A97"/>
    <w:rsid w:val="003E5E6B"/>
    <w:rsid w:val="003E6413"/>
    <w:rsid w:val="003E6B7D"/>
    <w:rsid w:val="003E73F8"/>
    <w:rsid w:val="003F0D6E"/>
    <w:rsid w:val="003F1C93"/>
    <w:rsid w:val="003F269F"/>
    <w:rsid w:val="003F27DA"/>
    <w:rsid w:val="003F78D5"/>
    <w:rsid w:val="003F7C23"/>
    <w:rsid w:val="003F7F1A"/>
    <w:rsid w:val="0040288F"/>
    <w:rsid w:val="004028A3"/>
    <w:rsid w:val="004050F3"/>
    <w:rsid w:val="00405182"/>
    <w:rsid w:val="004068A2"/>
    <w:rsid w:val="00410F90"/>
    <w:rsid w:val="00411588"/>
    <w:rsid w:val="004120C2"/>
    <w:rsid w:val="00412277"/>
    <w:rsid w:val="00413171"/>
    <w:rsid w:val="00415C8F"/>
    <w:rsid w:val="00416E51"/>
    <w:rsid w:val="00417D01"/>
    <w:rsid w:val="00420F54"/>
    <w:rsid w:val="00421656"/>
    <w:rsid w:val="00422329"/>
    <w:rsid w:val="0042495E"/>
    <w:rsid w:val="00424C81"/>
    <w:rsid w:val="00425144"/>
    <w:rsid w:val="00425D7A"/>
    <w:rsid w:val="004271DA"/>
    <w:rsid w:val="0042775F"/>
    <w:rsid w:val="00427AB4"/>
    <w:rsid w:val="0043015E"/>
    <w:rsid w:val="004318EE"/>
    <w:rsid w:val="00434705"/>
    <w:rsid w:val="0043528B"/>
    <w:rsid w:val="004353F0"/>
    <w:rsid w:val="004362FA"/>
    <w:rsid w:val="00436841"/>
    <w:rsid w:val="00436C43"/>
    <w:rsid w:val="00436ED9"/>
    <w:rsid w:val="004378D0"/>
    <w:rsid w:val="00440789"/>
    <w:rsid w:val="00441245"/>
    <w:rsid w:val="00441B40"/>
    <w:rsid w:val="00441F39"/>
    <w:rsid w:val="0044368E"/>
    <w:rsid w:val="00443F21"/>
    <w:rsid w:val="00445716"/>
    <w:rsid w:val="00446D98"/>
    <w:rsid w:val="0044752C"/>
    <w:rsid w:val="00451261"/>
    <w:rsid w:val="004512B7"/>
    <w:rsid w:val="004528B9"/>
    <w:rsid w:val="004536CA"/>
    <w:rsid w:val="004571DD"/>
    <w:rsid w:val="004601B8"/>
    <w:rsid w:val="00460724"/>
    <w:rsid w:val="00462069"/>
    <w:rsid w:val="00463FF7"/>
    <w:rsid w:val="00464246"/>
    <w:rsid w:val="00464B10"/>
    <w:rsid w:val="00466825"/>
    <w:rsid w:val="004674E2"/>
    <w:rsid w:val="0047080E"/>
    <w:rsid w:val="00470CC0"/>
    <w:rsid w:val="0047200C"/>
    <w:rsid w:val="00472EDA"/>
    <w:rsid w:val="00475471"/>
    <w:rsid w:val="0047559A"/>
    <w:rsid w:val="0047583D"/>
    <w:rsid w:val="00475B8E"/>
    <w:rsid w:val="004772E2"/>
    <w:rsid w:val="00477736"/>
    <w:rsid w:val="00477C87"/>
    <w:rsid w:val="00481862"/>
    <w:rsid w:val="0048220A"/>
    <w:rsid w:val="004828C1"/>
    <w:rsid w:val="00482EF0"/>
    <w:rsid w:val="00485458"/>
    <w:rsid w:val="004862B2"/>
    <w:rsid w:val="00490DD9"/>
    <w:rsid w:val="00492AFE"/>
    <w:rsid w:val="00493555"/>
    <w:rsid w:val="00494CB6"/>
    <w:rsid w:val="004959B2"/>
    <w:rsid w:val="00496B9A"/>
    <w:rsid w:val="004975ED"/>
    <w:rsid w:val="004A01BA"/>
    <w:rsid w:val="004A120C"/>
    <w:rsid w:val="004A1254"/>
    <w:rsid w:val="004A1715"/>
    <w:rsid w:val="004A1BD4"/>
    <w:rsid w:val="004A37CB"/>
    <w:rsid w:val="004A391B"/>
    <w:rsid w:val="004A40DA"/>
    <w:rsid w:val="004A40F7"/>
    <w:rsid w:val="004A590A"/>
    <w:rsid w:val="004A6771"/>
    <w:rsid w:val="004B3FAF"/>
    <w:rsid w:val="004B5BF3"/>
    <w:rsid w:val="004B7810"/>
    <w:rsid w:val="004B7EAF"/>
    <w:rsid w:val="004C027D"/>
    <w:rsid w:val="004C3DD5"/>
    <w:rsid w:val="004C3F14"/>
    <w:rsid w:val="004C57B1"/>
    <w:rsid w:val="004C6ACD"/>
    <w:rsid w:val="004C7DB3"/>
    <w:rsid w:val="004C7FA0"/>
    <w:rsid w:val="004D070E"/>
    <w:rsid w:val="004D08E2"/>
    <w:rsid w:val="004D0AF1"/>
    <w:rsid w:val="004D0CBE"/>
    <w:rsid w:val="004D1295"/>
    <w:rsid w:val="004D28DB"/>
    <w:rsid w:val="004D3529"/>
    <w:rsid w:val="004D4371"/>
    <w:rsid w:val="004D4A27"/>
    <w:rsid w:val="004D4FB6"/>
    <w:rsid w:val="004D64E8"/>
    <w:rsid w:val="004E0EFC"/>
    <w:rsid w:val="004E211E"/>
    <w:rsid w:val="004E2391"/>
    <w:rsid w:val="004E4F82"/>
    <w:rsid w:val="004E5A29"/>
    <w:rsid w:val="004E635A"/>
    <w:rsid w:val="004E68FF"/>
    <w:rsid w:val="004E6A3F"/>
    <w:rsid w:val="004E7314"/>
    <w:rsid w:val="004F108A"/>
    <w:rsid w:val="004F39CD"/>
    <w:rsid w:val="004F56BF"/>
    <w:rsid w:val="004F5AAA"/>
    <w:rsid w:val="004F5DAA"/>
    <w:rsid w:val="00501804"/>
    <w:rsid w:val="00502EAF"/>
    <w:rsid w:val="005066E4"/>
    <w:rsid w:val="00506C90"/>
    <w:rsid w:val="00506E3A"/>
    <w:rsid w:val="00510789"/>
    <w:rsid w:val="005115ED"/>
    <w:rsid w:val="005122A0"/>
    <w:rsid w:val="00512644"/>
    <w:rsid w:val="00513FA6"/>
    <w:rsid w:val="005141F7"/>
    <w:rsid w:val="00515407"/>
    <w:rsid w:val="00515999"/>
    <w:rsid w:val="005159C5"/>
    <w:rsid w:val="00515F68"/>
    <w:rsid w:val="005166F9"/>
    <w:rsid w:val="00516731"/>
    <w:rsid w:val="00521B6C"/>
    <w:rsid w:val="00521DE9"/>
    <w:rsid w:val="005226B3"/>
    <w:rsid w:val="00522830"/>
    <w:rsid w:val="00523472"/>
    <w:rsid w:val="00524616"/>
    <w:rsid w:val="005256B7"/>
    <w:rsid w:val="005259AB"/>
    <w:rsid w:val="00531172"/>
    <w:rsid w:val="005319A8"/>
    <w:rsid w:val="00531E9A"/>
    <w:rsid w:val="00532B3F"/>
    <w:rsid w:val="005340B0"/>
    <w:rsid w:val="00534EE4"/>
    <w:rsid w:val="005355D5"/>
    <w:rsid w:val="005356BE"/>
    <w:rsid w:val="0053698F"/>
    <w:rsid w:val="00536C71"/>
    <w:rsid w:val="0053762B"/>
    <w:rsid w:val="005377C7"/>
    <w:rsid w:val="0054036D"/>
    <w:rsid w:val="00540A65"/>
    <w:rsid w:val="00540B67"/>
    <w:rsid w:val="00541096"/>
    <w:rsid w:val="00541862"/>
    <w:rsid w:val="00543665"/>
    <w:rsid w:val="0054368E"/>
    <w:rsid w:val="00544863"/>
    <w:rsid w:val="00544E7D"/>
    <w:rsid w:val="005452BB"/>
    <w:rsid w:val="005454CB"/>
    <w:rsid w:val="00545AD1"/>
    <w:rsid w:val="0054604B"/>
    <w:rsid w:val="00550E3D"/>
    <w:rsid w:val="00551122"/>
    <w:rsid w:val="005511D3"/>
    <w:rsid w:val="005530E3"/>
    <w:rsid w:val="00554330"/>
    <w:rsid w:val="00555B6A"/>
    <w:rsid w:val="005578C7"/>
    <w:rsid w:val="00557A2B"/>
    <w:rsid w:val="00557CC2"/>
    <w:rsid w:val="00557FDE"/>
    <w:rsid w:val="005608AA"/>
    <w:rsid w:val="00560A1C"/>
    <w:rsid w:val="0056114E"/>
    <w:rsid w:val="0056117D"/>
    <w:rsid w:val="00561938"/>
    <w:rsid w:val="00562068"/>
    <w:rsid w:val="005631ED"/>
    <w:rsid w:val="00565C25"/>
    <w:rsid w:val="005661FA"/>
    <w:rsid w:val="00566E2A"/>
    <w:rsid w:val="00567458"/>
    <w:rsid w:val="005708EE"/>
    <w:rsid w:val="00572329"/>
    <w:rsid w:val="00573699"/>
    <w:rsid w:val="005761D1"/>
    <w:rsid w:val="00576422"/>
    <w:rsid w:val="00577694"/>
    <w:rsid w:val="0058049B"/>
    <w:rsid w:val="00580B1C"/>
    <w:rsid w:val="00581C63"/>
    <w:rsid w:val="00582418"/>
    <w:rsid w:val="0058243B"/>
    <w:rsid w:val="00583FF9"/>
    <w:rsid w:val="00584AF8"/>
    <w:rsid w:val="00585F7E"/>
    <w:rsid w:val="0058611B"/>
    <w:rsid w:val="00586431"/>
    <w:rsid w:val="00587404"/>
    <w:rsid w:val="0058782E"/>
    <w:rsid w:val="005878DA"/>
    <w:rsid w:val="0059038E"/>
    <w:rsid w:val="005904AA"/>
    <w:rsid w:val="00591136"/>
    <w:rsid w:val="005917BF"/>
    <w:rsid w:val="00592AB5"/>
    <w:rsid w:val="00593162"/>
    <w:rsid w:val="005931EE"/>
    <w:rsid w:val="0059328B"/>
    <w:rsid w:val="005933D8"/>
    <w:rsid w:val="0059551D"/>
    <w:rsid w:val="00595FAF"/>
    <w:rsid w:val="005A0B1B"/>
    <w:rsid w:val="005A0BB8"/>
    <w:rsid w:val="005A14B5"/>
    <w:rsid w:val="005A4256"/>
    <w:rsid w:val="005A4F39"/>
    <w:rsid w:val="005A5D91"/>
    <w:rsid w:val="005A6788"/>
    <w:rsid w:val="005B0CA1"/>
    <w:rsid w:val="005B128F"/>
    <w:rsid w:val="005B1616"/>
    <w:rsid w:val="005B1884"/>
    <w:rsid w:val="005B19D3"/>
    <w:rsid w:val="005B2B04"/>
    <w:rsid w:val="005B4890"/>
    <w:rsid w:val="005B583B"/>
    <w:rsid w:val="005B7DEF"/>
    <w:rsid w:val="005C199D"/>
    <w:rsid w:val="005C2998"/>
    <w:rsid w:val="005C2A31"/>
    <w:rsid w:val="005C3410"/>
    <w:rsid w:val="005C3649"/>
    <w:rsid w:val="005C5999"/>
    <w:rsid w:val="005C5B45"/>
    <w:rsid w:val="005C7794"/>
    <w:rsid w:val="005D0BD0"/>
    <w:rsid w:val="005D2253"/>
    <w:rsid w:val="005D2EC5"/>
    <w:rsid w:val="005D3585"/>
    <w:rsid w:val="005D569C"/>
    <w:rsid w:val="005D6270"/>
    <w:rsid w:val="005E026C"/>
    <w:rsid w:val="005E1635"/>
    <w:rsid w:val="005E2226"/>
    <w:rsid w:val="005E2256"/>
    <w:rsid w:val="005E39E8"/>
    <w:rsid w:val="005E6C70"/>
    <w:rsid w:val="005E7A2D"/>
    <w:rsid w:val="005F0774"/>
    <w:rsid w:val="005F0816"/>
    <w:rsid w:val="005F0D99"/>
    <w:rsid w:val="005F12D6"/>
    <w:rsid w:val="005F15F2"/>
    <w:rsid w:val="005F18D8"/>
    <w:rsid w:val="005F1D92"/>
    <w:rsid w:val="005F1F22"/>
    <w:rsid w:val="005F2199"/>
    <w:rsid w:val="005F300A"/>
    <w:rsid w:val="005F39BD"/>
    <w:rsid w:val="005F4BF2"/>
    <w:rsid w:val="005F6484"/>
    <w:rsid w:val="005F6AA8"/>
    <w:rsid w:val="00600620"/>
    <w:rsid w:val="00601735"/>
    <w:rsid w:val="00601752"/>
    <w:rsid w:val="00601C10"/>
    <w:rsid w:val="006039A0"/>
    <w:rsid w:val="0060483A"/>
    <w:rsid w:val="006051AA"/>
    <w:rsid w:val="00605887"/>
    <w:rsid w:val="00605E95"/>
    <w:rsid w:val="00605EA2"/>
    <w:rsid w:val="00605F8A"/>
    <w:rsid w:val="00606EEB"/>
    <w:rsid w:val="006071F7"/>
    <w:rsid w:val="00607351"/>
    <w:rsid w:val="0061015C"/>
    <w:rsid w:val="0061043C"/>
    <w:rsid w:val="0061185F"/>
    <w:rsid w:val="006123FC"/>
    <w:rsid w:val="00612AC5"/>
    <w:rsid w:val="00612F9C"/>
    <w:rsid w:val="00613B7E"/>
    <w:rsid w:val="00613E83"/>
    <w:rsid w:val="00617482"/>
    <w:rsid w:val="0062087F"/>
    <w:rsid w:val="00621CB1"/>
    <w:rsid w:val="00621E04"/>
    <w:rsid w:val="006232A7"/>
    <w:rsid w:val="00624AD8"/>
    <w:rsid w:val="00625BA6"/>
    <w:rsid w:val="006267A7"/>
    <w:rsid w:val="00634312"/>
    <w:rsid w:val="00635143"/>
    <w:rsid w:val="0063567E"/>
    <w:rsid w:val="006375ED"/>
    <w:rsid w:val="00637F40"/>
    <w:rsid w:val="006400AA"/>
    <w:rsid w:val="006404C1"/>
    <w:rsid w:val="006423A6"/>
    <w:rsid w:val="006423A7"/>
    <w:rsid w:val="00642DD3"/>
    <w:rsid w:val="00643694"/>
    <w:rsid w:val="006447C7"/>
    <w:rsid w:val="00645A8D"/>
    <w:rsid w:val="006500AF"/>
    <w:rsid w:val="00650F56"/>
    <w:rsid w:val="006515A5"/>
    <w:rsid w:val="00651FB4"/>
    <w:rsid w:val="00652207"/>
    <w:rsid w:val="00652F03"/>
    <w:rsid w:val="006579CB"/>
    <w:rsid w:val="00660EE8"/>
    <w:rsid w:val="006614E7"/>
    <w:rsid w:val="00661D3A"/>
    <w:rsid w:val="00662DBC"/>
    <w:rsid w:val="00663583"/>
    <w:rsid w:val="00663861"/>
    <w:rsid w:val="00672C6E"/>
    <w:rsid w:val="006731A3"/>
    <w:rsid w:val="00677285"/>
    <w:rsid w:val="0067738D"/>
    <w:rsid w:val="00682E72"/>
    <w:rsid w:val="00683271"/>
    <w:rsid w:val="00684F1C"/>
    <w:rsid w:val="00685CDD"/>
    <w:rsid w:val="00687788"/>
    <w:rsid w:val="00690A33"/>
    <w:rsid w:val="00691528"/>
    <w:rsid w:val="0069161D"/>
    <w:rsid w:val="006948F8"/>
    <w:rsid w:val="006950CC"/>
    <w:rsid w:val="00695A95"/>
    <w:rsid w:val="00695DB7"/>
    <w:rsid w:val="00696FE0"/>
    <w:rsid w:val="006A3E3E"/>
    <w:rsid w:val="006A4F62"/>
    <w:rsid w:val="006A631B"/>
    <w:rsid w:val="006A658D"/>
    <w:rsid w:val="006A6DBB"/>
    <w:rsid w:val="006A7929"/>
    <w:rsid w:val="006B229C"/>
    <w:rsid w:val="006B2557"/>
    <w:rsid w:val="006B2E29"/>
    <w:rsid w:val="006B407E"/>
    <w:rsid w:val="006B78FE"/>
    <w:rsid w:val="006C0D89"/>
    <w:rsid w:val="006C21ED"/>
    <w:rsid w:val="006C223D"/>
    <w:rsid w:val="006C2E06"/>
    <w:rsid w:val="006C4D5E"/>
    <w:rsid w:val="006C5A74"/>
    <w:rsid w:val="006C6126"/>
    <w:rsid w:val="006D0E00"/>
    <w:rsid w:val="006D1B43"/>
    <w:rsid w:val="006D28F1"/>
    <w:rsid w:val="006D33C9"/>
    <w:rsid w:val="006D3A16"/>
    <w:rsid w:val="006D3E71"/>
    <w:rsid w:val="006D4523"/>
    <w:rsid w:val="006D47F6"/>
    <w:rsid w:val="006D56C0"/>
    <w:rsid w:val="006D5CBE"/>
    <w:rsid w:val="006D6F28"/>
    <w:rsid w:val="006E2FBD"/>
    <w:rsid w:val="006E3577"/>
    <w:rsid w:val="006E379F"/>
    <w:rsid w:val="006E4048"/>
    <w:rsid w:val="006E4533"/>
    <w:rsid w:val="006E4952"/>
    <w:rsid w:val="006E499A"/>
    <w:rsid w:val="006E4B70"/>
    <w:rsid w:val="006E58EF"/>
    <w:rsid w:val="006E7195"/>
    <w:rsid w:val="006F0801"/>
    <w:rsid w:val="006F18A2"/>
    <w:rsid w:val="006F2DC2"/>
    <w:rsid w:val="006F5246"/>
    <w:rsid w:val="006F58D1"/>
    <w:rsid w:val="006F72AA"/>
    <w:rsid w:val="006F741B"/>
    <w:rsid w:val="006F7E50"/>
    <w:rsid w:val="007002DF"/>
    <w:rsid w:val="00700605"/>
    <w:rsid w:val="00703126"/>
    <w:rsid w:val="007038E5"/>
    <w:rsid w:val="0070425B"/>
    <w:rsid w:val="00704651"/>
    <w:rsid w:val="00706D36"/>
    <w:rsid w:val="00712B40"/>
    <w:rsid w:val="00713D7C"/>
    <w:rsid w:val="00713F23"/>
    <w:rsid w:val="00714469"/>
    <w:rsid w:val="00714613"/>
    <w:rsid w:val="007155AB"/>
    <w:rsid w:val="007155B3"/>
    <w:rsid w:val="007157B4"/>
    <w:rsid w:val="007162F1"/>
    <w:rsid w:val="00716E60"/>
    <w:rsid w:val="00717AA9"/>
    <w:rsid w:val="0072018C"/>
    <w:rsid w:val="007248E2"/>
    <w:rsid w:val="00724A8F"/>
    <w:rsid w:val="00724D17"/>
    <w:rsid w:val="00725C21"/>
    <w:rsid w:val="00726269"/>
    <w:rsid w:val="0072660C"/>
    <w:rsid w:val="00726D50"/>
    <w:rsid w:val="0072717E"/>
    <w:rsid w:val="0072730A"/>
    <w:rsid w:val="007275E3"/>
    <w:rsid w:val="007310E6"/>
    <w:rsid w:val="00731FB3"/>
    <w:rsid w:val="00732A47"/>
    <w:rsid w:val="007333BF"/>
    <w:rsid w:val="00733496"/>
    <w:rsid w:val="00733CF2"/>
    <w:rsid w:val="00733E0F"/>
    <w:rsid w:val="00734CE8"/>
    <w:rsid w:val="00735D12"/>
    <w:rsid w:val="0073771C"/>
    <w:rsid w:val="00741479"/>
    <w:rsid w:val="007419E0"/>
    <w:rsid w:val="00742F18"/>
    <w:rsid w:val="00745A11"/>
    <w:rsid w:val="00745E9C"/>
    <w:rsid w:val="007528A4"/>
    <w:rsid w:val="007528C9"/>
    <w:rsid w:val="00753A39"/>
    <w:rsid w:val="0075430E"/>
    <w:rsid w:val="0075455F"/>
    <w:rsid w:val="00755655"/>
    <w:rsid w:val="00756B6D"/>
    <w:rsid w:val="00757BB0"/>
    <w:rsid w:val="00760025"/>
    <w:rsid w:val="007609D3"/>
    <w:rsid w:val="00760D52"/>
    <w:rsid w:val="00765536"/>
    <w:rsid w:val="00767191"/>
    <w:rsid w:val="00772D3A"/>
    <w:rsid w:val="0077315D"/>
    <w:rsid w:val="00774867"/>
    <w:rsid w:val="00774F87"/>
    <w:rsid w:val="0077513E"/>
    <w:rsid w:val="007759CB"/>
    <w:rsid w:val="00780969"/>
    <w:rsid w:val="00782808"/>
    <w:rsid w:val="007829FB"/>
    <w:rsid w:val="00782D6B"/>
    <w:rsid w:val="0079048B"/>
    <w:rsid w:val="00791A35"/>
    <w:rsid w:val="00791B96"/>
    <w:rsid w:val="007921CB"/>
    <w:rsid w:val="0079361A"/>
    <w:rsid w:val="00793A27"/>
    <w:rsid w:val="00793B3C"/>
    <w:rsid w:val="00793B91"/>
    <w:rsid w:val="00794B55"/>
    <w:rsid w:val="007A3471"/>
    <w:rsid w:val="007A359E"/>
    <w:rsid w:val="007A3E6D"/>
    <w:rsid w:val="007A6AD0"/>
    <w:rsid w:val="007A6F01"/>
    <w:rsid w:val="007A73DF"/>
    <w:rsid w:val="007B12E5"/>
    <w:rsid w:val="007B2D0D"/>
    <w:rsid w:val="007B2E8F"/>
    <w:rsid w:val="007B32AF"/>
    <w:rsid w:val="007B45ED"/>
    <w:rsid w:val="007B4876"/>
    <w:rsid w:val="007B4B67"/>
    <w:rsid w:val="007B5D19"/>
    <w:rsid w:val="007B61A5"/>
    <w:rsid w:val="007B61C5"/>
    <w:rsid w:val="007B74DF"/>
    <w:rsid w:val="007C004D"/>
    <w:rsid w:val="007C0C6A"/>
    <w:rsid w:val="007C125C"/>
    <w:rsid w:val="007C12F1"/>
    <w:rsid w:val="007C470B"/>
    <w:rsid w:val="007C47B0"/>
    <w:rsid w:val="007C4B52"/>
    <w:rsid w:val="007C4E7A"/>
    <w:rsid w:val="007C62E6"/>
    <w:rsid w:val="007C7134"/>
    <w:rsid w:val="007C721C"/>
    <w:rsid w:val="007C7643"/>
    <w:rsid w:val="007D0A3D"/>
    <w:rsid w:val="007D13FB"/>
    <w:rsid w:val="007D18FE"/>
    <w:rsid w:val="007D292B"/>
    <w:rsid w:val="007D2D3C"/>
    <w:rsid w:val="007D4809"/>
    <w:rsid w:val="007D53B2"/>
    <w:rsid w:val="007D6BFF"/>
    <w:rsid w:val="007D6D5E"/>
    <w:rsid w:val="007D6F41"/>
    <w:rsid w:val="007D7214"/>
    <w:rsid w:val="007D7587"/>
    <w:rsid w:val="007E0B2F"/>
    <w:rsid w:val="007E0BAF"/>
    <w:rsid w:val="007E3D42"/>
    <w:rsid w:val="007E5426"/>
    <w:rsid w:val="007E5B7C"/>
    <w:rsid w:val="007E6071"/>
    <w:rsid w:val="007E6B14"/>
    <w:rsid w:val="007E7C1D"/>
    <w:rsid w:val="007F0634"/>
    <w:rsid w:val="007F0BFF"/>
    <w:rsid w:val="007F12E2"/>
    <w:rsid w:val="007F13FB"/>
    <w:rsid w:val="007F14DB"/>
    <w:rsid w:val="007F21BB"/>
    <w:rsid w:val="007F2D8A"/>
    <w:rsid w:val="007F2E4A"/>
    <w:rsid w:val="007F3359"/>
    <w:rsid w:val="007F5C70"/>
    <w:rsid w:val="007F63CB"/>
    <w:rsid w:val="007F66C8"/>
    <w:rsid w:val="007F78F2"/>
    <w:rsid w:val="008004BD"/>
    <w:rsid w:val="00801363"/>
    <w:rsid w:val="00801507"/>
    <w:rsid w:val="00802254"/>
    <w:rsid w:val="008025A1"/>
    <w:rsid w:val="00802B50"/>
    <w:rsid w:val="00803CB4"/>
    <w:rsid w:val="00805222"/>
    <w:rsid w:val="00805D4F"/>
    <w:rsid w:val="00806FA3"/>
    <w:rsid w:val="008112CA"/>
    <w:rsid w:val="00812025"/>
    <w:rsid w:val="00813BD5"/>
    <w:rsid w:val="00814836"/>
    <w:rsid w:val="00816B67"/>
    <w:rsid w:val="00816CC2"/>
    <w:rsid w:val="00817358"/>
    <w:rsid w:val="00817ADE"/>
    <w:rsid w:val="00822AE5"/>
    <w:rsid w:val="00822C3D"/>
    <w:rsid w:val="00822F01"/>
    <w:rsid w:val="008233C0"/>
    <w:rsid w:val="0082453E"/>
    <w:rsid w:val="00825527"/>
    <w:rsid w:val="00825693"/>
    <w:rsid w:val="00825B2A"/>
    <w:rsid w:val="008276CE"/>
    <w:rsid w:val="00827BD9"/>
    <w:rsid w:val="008300E5"/>
    <w:rsid w:val="008301C9"/>
    <w:rsid w:val="0083088D"/>
    <w:rsid w:val="0083155F"/>
    <w:rsid w:val="00831C4E"/>
    <w:rsid w:val="00832F87"/>
    <w:rsid w:val="00833402"/>
    <w:rsid w:val="0083551F"/>
    <w:rsid w:val="00837AC4"/>
    <w:rsid w:val="00840430"/>
    <w:rsid w:val="00841014"/>
    <w:rsid w:val="008428C9"/>
    <w:rsid w:val="00842A83"/>
    <w:rsid w:val="00842F21"/>
    <w:rsid w:val="00843775"/>
    <w:rsid w:val="00844A74"/>
    <w:rsid w:val="00844E0C"/>
    <w:rsid w:val="00846DA1"/>
    <w:rsid w:val="00846EEC"/>
    <w:rsid w:val="008471E2"/>
    <w:rsid w:val="00850325"/>
    <w:rsid w:val="008512A2"/>
    <w:rsid w:val="00851AB6"/>
    <w:rsid w:val="00852023"/>
    <w:rsid w:val="00852A58"/>
    <w:rsid w:val="00854A4C"/>
    <w:rsid w:val="00856D52"/>
    <w:rsid w:val="008576F4"/>
    <w:rsid w:val="0086081D"/>
    <w:rsid w:val="0086094F"/>
    <w:rsid w:val="00860C07"/>
    <w:rsid w:val="00861249"/>
    <w:rsid w:val="0086160F"/>
    <w:rsid w:val="00863355"/>
    <w:rsid w:val="0086590B"/>
    <w:rsid w:val="00871F20"/>
    <w:rsid w:val="00872455"/>
    <w:rsid w:val="008744DA"/>
    <w:rsid w:val="008746ED"/>
    <w:rsid w:val="00874794"/>
    <w:rsid w:val="00875667"/>
    <w:rsid w:val="00875CB3"/>
    <w:rsid w:val="00875EF6"/>
    <w:rsid w:val="008767BD"/>
    <w:rsid w:val="00876CDF"/>
    <w:rsid w:val="00881BAC"/>
    <w:rsid w:val="0088225B"/>
    <w:rsid w:val="00883065"/>
    <w:rsid w:val="00883243"/>
    <w:rsid w:val="008836C5"/>
    <w:rsid w:val="0088547A"/>
    <w:rsid w:val="00885C10"/>
    <w:rsid w:val="0088635D"/>
    <w:rsid w:val="0088728F"/>
    <w:rsid w:val="00887896"/>
    <w:rsid w:val="008906AC"/>
    <w:rsid w:val="00891790"/>
    <w:rsid w:val="008933B2"/>
    <w:rsid w:val="00895125"/>
    <w:rsid w:val="008956B3"/>
    <w:rsid w:val="00895F2D"/>
    <w:rsid w:val="00897326"/>
    <w:rsid w:val="008974A2"/>
    <w:rsid w:val="008A1BB6"/>
    <w:rsid w:val="008A1FA5"/>
    <w:rsid w:val="008A27DB"/>
    <w:rsid w:val="008A51D7"/>
    <w:rsid w:val="008A5693"/>
    <w:rsid w:val="008A6495"/>
    <w:rsid w:val="008A7645"/>
    <w:rsid w:val="008B200D"/>
    <w:rsid w:val="008B3FC8"/>
    <w:rsid w:val="008B7BF5"/>
    <w:rsid w:val="008C034B"/>
    <w:rsid w:val="008C172D"/>
    <w:rsid w:val="008C22AA"/>
    <w:rsid w:val="008C3356"/>
    <w:rsid w:val="008C4CCE"/>
    <w:rsid w:val="008C592E"/>
    <w:rsid w:val="008C5C41"/>
    <w:rsid w:val="008D1A4C"/>
    <w:rsid w:val="008D1A75"/>
    <w:rsid w:val="008D23D8"/>
    <w:rsid w:val="008D41A2"/>
    <w:rsid w:val="008D422F"/>
    <w:rsid w:val="008D44A6"/>
    <w:rsid w:val="008D602C"/>
    <w:rsid w:val="008D6367"/>
    <w:rsid w:val="008D7001"/>
    <w:rsid w:val="008D7111"/>
    <w:rsid w:val="008D715A"/>
    <w:rsid w:val="008D7E00"/>
    <w:rsid w:val="008E023F"/>
    <w:rsid w:val="008E0F39"/>
    <w:rsid w:val="008E16AC"/>
    <w:rsid w:val="008E3E32"/>
    <w:rsid w:val="008E404E"/>
    <w:rsid w:val="008E4BF0"/>
    <w:rsid w:val="008E53A9"/>
    <w:rsid w:val="008E7EA4"/>
    <w:rsid w:val="008F0EDD"/>
    <w:rsid w:val="008F1572"/>
    <w:rsid w:val="008F206E"/>
    <w:rsid w:val="008F5DB7"/>
    <w:rsid w:val="008F66DF"/>
    <w:rsid w:val="008F75AB"/>
    <w:rsid w:val="009000FC"/>
    <w:rsid w:val="00900829"/>
    <w:rsid w:val="009015AE"/>
    <w:rsid w:val="00901F6D"/>
    <w:rsid w:val="00902A5C"/>
    <w:rsid w:val="00902EED"/>
    <w:rsid w:val="009042AF"/>
    <w:rsid w:val="00906E2C"/>
    <w:rsid w:val="00907AC7"/>
    <w:rsid w:val="0091122B"/>
    <w:rsid w:val="0091536D"/>
    <w:rsid w:val="00915C31"/>
    <w:rsid w:val="0091666A"/>
    <w:rsid w:val="00916A1E"/>
    <w:rsid w:val="009209A9"/>
    <w:rsid w:val="00920BF1"/>
    <w:rsid w:val="00921115"/>
    <w:rsid w:val="009214D8"/>
    <w:rsid w:val="0092175A"/>
    <w:rsid w:val="0092203B"/>
    <w:rsid w:val="009226C4"/>
    <w:rsid w:val="00923372"/>
    <w:rsid w:val="00923FBD"/>
    <w:rsid w:val="009241F4"/>
    <w:rsid w:val="0092556D"/>
    <w:rsid w:val="009267E8"/>
    <w:rsid w:val="00926A0C"/>
    <w:rsid w:val="00930112"/>
    <w:rsid w:val="00930342"/>
    <w:rsid w:val="0093200A"/>
    <w:rsid w:val="009326F8"/>
    <w:rsid w:val="00932E20"/>
    <w:rsid w:val="00934424"/>
    <w:rsid w:val="009350DF"/>
    <w:rsid w:val="00935DB0"/>
    <w:rsid w:val="00936976"/>
    <w:rsid w:val="00936A35"/>
    <w:rsid w:val="00940BCE"/>
    <w:rsid w:val="009420D6"/>
    <w:rsid w:val="00943996"/>
    <w:rsid w:val="00945068"/>
    <w:rsid w:val="00945655"/>
    <w:rsid w:val="00947447"/>
    <w:rsid w:val="009506E0"/>
    <w:rsid w:val="009519B5"/>
    <w:rsid w:val="0095328C"/>
    <w:rsid w:val="00953B1C"/>
    <w:rsid w:val="00955989"/>
    <w:rsid w:val="00956F64"/>
    <w:rsid w:val="0095712F"/>
    <w:rsid w:val="00957673"/>
    <w:rsid w:val="00957E61"/>
    <w:rsid w:val="009602D6"/>
    <w:rsid w:val="00960DE1"/>
    <w:rsid w:val="00961F6F"/>
    <w:rsid w:val="009633F9"/>
    <w:rsid w:val="009638A6"/>
    <w:rsid w:val="00964993"/>
    <w:rsid w:val="00964EBE"/>
    <w:rsid w:val="00965276"/>
    <w:rsid w:val="00965769"/>
    <w:rsid w:val="00965D7C"/>
    <w:rsid w:val="009669DD"/>
    <w:rsid w:val="00967C4F"/>
    <w:rsid w:val="00967C8A"/>
    <w:rsid w:val="00970D7F"/>
    <w:rsid w:val="00971AB8"/>
    <w:rsid w:val="00971C85"/>
    <w:rsid w:val="00971DE9"/>
    <w:rsid w:val="00972A5C"/>
    <w:rsid w:val="009738B7"/>
    <w:rsid w:val="009756A7"/>
    <w:rsid w:val="009758E8"/>
    <w:rsid w:val="00976C52"/>
    <w:rsid w:val="009770C3"/>
    <w:rsid w:val="0098072A"/>
    <w:rsid w:val="00980884"/>
    <w:rsid w:val="00980A0D"/>
    <w:rsid w:val="00980D72"/>
    <w:rsid w:val="00980EFA"/>
    <w:rsid w:val="00981F78"/>
    <w:rsid w:val="0098209C"/>
    <w:rsid w:val="009842AD"/>
    <w:rsid w:val="009842FC"/>
    <w:rsid w:val="00984D73"/>
    <w:rsid w:val="00985AF0"/>
    <w:rsid w:val="00986295"/>
    <w:rsid w:val="0098631A"/>
    <w:rsid w:val="0098686B"/>
    <w:rsid w:val="00986CCA"/>
    <w:rsid w:val="00987142"/>
    <w:rsid w:val="0099191A"/>
    <w:rsid w:val="00991CCD"/>
    <w:rsid w:val="00992FCB"/>
    <w:rsid w:val="00995803"/>
    <w:rsid w:val="00995CB0"/>
    <w:rsid w:val="009A0051"/>
    <w:rsid w:val="009A01F5"/>
    <w:rsid w:val="009A057D"/>
    <w:rsid w:val="009A08C3"/>
    <w:rsid w:val="009A0D8B"/>
    <w:rsid w:val="009A1513"/>
    <w:rsid w:val="009A2FD8"/>
    <w:rsid w:val="009A3146"/>
    <w:rsid w:val="009A3265"/>
    <w:rsid w:val="009A4B11"/>
    <w:rsid w:val="009A4B9D"/>
    <w:rsid w:val="009A556B"/>
    <w:rsid w:val="009A702F"/>
    <w:rsid w:val="009A73E2"/>
    <w:rsid w:val="009A7AB7"/>
    <w:rsid w:val="009A7D46"/>
    <w:rsid w:val="009B43C9"/>
    <w:rsid w:val="009B48D8"/>
    <w:rsid w:val="009B58AB"/>
    <w:rsid w:val="009B5E09"/>
    <w:rsid w:val="009B767B"/>
    <w:rsid w:val="009C0CA4"/>
    <w:rsid w:val="009C1424"/>
    <w:rsid w:val="009C1EB1"/>
    <w:rsid w:val="009C3427"/>
    <w:rsid w:val="009C424B"/>
    <w:rsid w:val="009C593A"/>
    <w:rsid w:val="009C5E2B"/>
    <w:rsid w:val="009C62B6"/>
    <w:rsid w:val="009D0224"/>
    <w:rsid w:val="009D02AC"/>
    <w:rsid w:val="009D0F55"/>
    <w:rsid w:val="009D1523"/>
    <w:rsid w:val="009D7203"/>
    <w:rsid w:val="009E0442"/>
    <w:rsid w:val="009E259C"/>
    <w:rsid w:val="009E40CE"/>
    <w:rsid w:val="009E47D3"/>
    <w:rsid w:val="009E5D4B"/>
    <w:rsid w:val="009E628B"/>
    <w:rsid w:val="009E6D4C"/>
    <w:rsid w:val="009E7044"/>
    <w:rsid w:val="009F117A"/>
    <w:rsid w:val="009F25C5"/>
    <w:rsid w:val="009F3038"/>
    <w:rsid w:val="009F3E69"/>
    <w:rsid w:val="009F4263"/>
    <w:rsid w:val="009F4C53"/>
    <w:rsid w:val="009F645C"/>
    <w:rsid w:val="00A00489"/>
    <w:rsid w:val="00A004FF"/>
    <w:rsid w:val="00A04AA6"/>
    <w:rsid w:val="00A10204"/>
    <w:rsid w:val="00A10236"/>
    <w:rsid w:val="00A10260"/>
    <w:rsid w:val="00A11503"/>
    <w:rsid w:val="00A1154C"/>
    <w:rsid w:val="00A11960"/>
    <w:rsid w:val="00A12E9F"/>
    <w:rsid w:val="00A147F6"/>
    <w:rsid w:val="00A14B82"/>
    <w:rsid w:val="00A1556B"/>
    <w:rsid w:val="00A16112"/>
    <w:rsid w:val="00A16621"/>
    <w:rsid w:val="00A16C80"/>
    <w:rsid w:val="00A173FF"/>
    <w:rsid w:val="00A17F42"/>
    <w:rsid w:val="00A211DD"/>
    <w:rsid w:val="00A21927"/>
    <w:rsid w:val="00A23241"/>
    <w:rsid w:val="00A240D7"/>
    <w:rsid w:val="00A26798"/>
    <w:rsid w:val="00A311D3"/>
    <w:rsid w:val="00A3124E"/>
    <w:rsid w:val="00A31F4D"/>
    <w:rsid w:val="00A33F3C"/>
    <w:rsid w:val="00A357BE"/>
    <w:rsid w:val="00A360D4"/>
    <w:rsid w:val="00A363C2"/>
    <w:rsid w:val="00A365F1"/>
    <w:rsid w:val="00A36D8F"/>
    <w:rsid w:val="00A36FCC"/>
    <w:rsid w:val="00A37375"/>
    <w:rsid w:val="00A4019E"/>
    <w:rsid w:val="00A4449F"/>
    <w:rsid w:val="00A444C2"/>
    <w:rsid w:val="00A45A33"/>
    <w:rsid w:val="00A4632E"/>
    <w:rsid w:val="00A467E9"/>
    <w:rsid w:val="00A4690B"/>
    <w:rsid w:val="00A46D0D"/>
    <w:rsid w:val="00A478EB"/>
    <w:rsid w:val="00A51221"/>
    <w:rsid w:val="00A54789"/>
    <w:rsid w:val="00A555DA"/>
    <w:rsid w:val="00A567AD"/>
    <w:rsid w:val="00A57E4B"/>
    <w:rsid w:val="00A60C41"/>
    <w:rsid w:val="00A60DA2"/>
    <w:rsid w:val="00A6106D"/>
    <w:rsid w:val="00A63265"/>
    <w:rsid w:val="00A644DA"/>
    <w:rsid w:val="00A65381"/>
    <w:rsid w:val="00A656BF"/>
    <w:rsid w:val="00A66866"/>
    <w:rsid w:val="00A6690C"/>
    <w:rsid w:val="00A67341"/>
    <w:rsid w:val="00A71A17"/>
    <w:rsid w:val="00A720CE"/>
    <w:rsid w:val="00A729A6"/>
    <w:rsid w:val="00A72F5D"/>
    <w:rsid w:val="00A73879"/>
    <w:rsid w:val="00A73A70"/>
    <w:rsid w:val="00A7464B"/>
    <w:rsid w:val="00A77661"/>
    <w:rsid w:val="00A82705"/>
    <w:rsid w:val="00A82A27"/>
    <w:rsid w:val="00A84C12"/>
    <w:rsid w:val="00A85302"/>
    <w:rsid w:val="00A879AE"/>
    <w:rsid w:val="00A914A7"/>
    <w:rsid w:val="00A93041"/>
    <w:rsid w:val="00A93117"/>
    <w:rsid w:val="00A94627"/>
    <w:rsid w:val="00A94691"/>
    <w:rsid w:val="00A94932"/>
    <w:rsid w:val="00A951E0"/>
    <w:rsid w:val="00A962AD"/>
    <w:rsid w:val="00A975A5"/>
    <w:rsid w:val="00A97B79"/>
    <w:rsid w:val="00A97DD4"/>
    <w:rsid w:val="00AA03ED"/>
    <w:rsid w:val="00AA1415"/>
    <w:rsid w:val="00AA1A6F"/>
    <w:rsid w:val="00AA3B7F"/>
    <w:rsid w:val="00AA506D"/>
    <w:rsid w:val="00AA5995"/>
    <w:rsid w:val="00AB02D0"/>
    <w:rsid w:val="00AB0D67"/>
    <w:rsid w:val="00AB1284"/>
    <w:rsid w:val="00AB2C2F"/>
    <w:rsid w:val="00AB324E"/>
    <w:rsid w:val="00AB327B"/>
    <w:rsid w:val="00AB3E4B"/>
    <w:rsid w:val="00AB4D2B"/>
    <w:rsid w:val="00AB4F25"/>
    <w:rsid w:val="00AB686B"/>
    <w:rsid w:val="00AC18A4"/>
    <w:rsid w:val="00AC1C17"/>
    <w:rsid w:val="00AC2CEF"/>
    <w:rsid w:val="00AC61A9"/>
    <w:rsid w:val="00AC66B8"/>
    <w:rsid w:val="00AC6DB9"/>
    <w:rsid w:val="00AC7CAB"/>
    <w:rsid w:val="00AD0A5E"/>
    <w:rsid w:val="00AD2788"/>
    <w:rsid w:val="00AD2D1D"/>
    <w:rsid w:val="00AD2D53"/>
    <w:rsid w:val="00AD5838"/>
    <w:rsid w:val="00AD5B6F"/>
    <w:rsid w:val="00AD768F"/>
    <w:rsid w:val="00AE1807"/>
    <w:rsid w:val="00AE27F3"/>
    <w:rsid w:val="00AE45A4"/>
    <w:rsid w:val="00AE47E8"/>
    <w:rsid w:val="00AE6CD3"/>
    <w:rsid w:val="00AF0148"/>
    <w:rsid w:val="00AF0EF7"/>
    <w:rsid w:val="00AF3D03"/>
    <w:rsid w:val="00AF4FB2"/>
    <w:rsid w:val="00AF507B"/>
    <w:rsid w:val="00AF5227"/>
    <w:rsid w:val="00AF5695"/>
    <w:rsid w:val="00B00328"/>
    <w:rsid w:val="00B013A1"/>
    <w:rsid w:val="00B01587"/>
    <w:rsid w:val="00B01D94"/>
    <w:rsid w:val="00B02746"/>
    <w:rsid w:val="00B0307A"/>
    <w:rsid w:val="00B04C0B"/>
    <w:rsid w:val="00B04EFD"/>
    <w:rsid w:val="00B06ED2"/>
    <w:rsid w:val="00B10EAD"/>
    <w:rsid w:val="00B12F46"/>
    <w:rsid w:val="00B13434"/>
    <w:rsid w:val="00B15BD7"/>
    <w:rsid w:val="00B173E3"/>
    <w:rsid w:val="00B213BD"/>
    <w:rsid w:val="00B21D41"/>
    <w:rsid w:val="00B23302"/>
    <w:rsid w:val="00B23AFB"/>
    <w:rsid w:val="00B25E63"/>
    <w:rsid w:val="00B261BA"/>
    <w:rsid w:val="00B261D9"/>
    <w:rsid w:val="00B26824"/>
    <w:rsid w:val="00B26D80"/>
    <w:rsid w:val="00B26E1B"/>
    <w:rsid w:val="00B27E4B"/>
    <w:rsid w:val="00B3056B"/>
    <w:rsid w:val="00B314C9"/>
    <w:rsid w:val="00B31BC7"/>
    <w:rsid w:val="00B336A9"/>
    <w:rsid w:val="00B339C7"/>
    <w:rsid w:val="00B348BE"/>
    <w:rsid w:val="00B34F92"/>
    <w:rsid w:val="00B358B1"/>
    <w:rsid w:val="00B35B0D"/>
    <w:rsid w:val="00B35DDF"/>
    <w:rsid w:val="00B36486"/>
    <w:rsid w:val="00B368E4"/>
    <w:rsid w:val="00B37A61"/>
    <w:rsid w:val="00B40831"/>
    <w:rsid w:val="00B40C45"/>
    <w:rsid w:val="00B41064"/>
    <w:rsid w:val="00B4135C"/>
    <w:rsid w:val="00B418C2"/>
    <w:rsid w:val="00B4231B"/>
    <w:rsid w:val="00B428E1"/>
    <w:rsid w:val="00B448AA"/>
    <w:rsid w:val="00B45431"/>
    <w:rsid w:val="00B50576"/>
    <w:rsid w:val="00B50A6C"/>
    <w:rsid w:val="00B516CD"/>
    <w:rsid w:val="00B51BA7"/>
    <w:rsid w:val="00B52638"/>
    <w:rsid w:val="00B53C63"/>
    <w:rsid w:val="00B54B49"/>
    <w:rsid w:val="00B555EE"/>
    <w:rsid w:val="00B55A62"/>
    <w:rsid w:val="00B5648B"/>
    <w:rsid w:val="00B6023E"/>
    <w:rsid w:val="00B60811"/>
    <w:rsid w:val="00B60D35"/>
    <w:rsid w:val="00B62315"/>
    <w:rsid w:val="00B6245F"/>
    <w:rsid w:val="00B6295E"/>
    <w:rsid w:val="00B62ABD"/>
    <w:rsid w:val="00B62D50"/>
    <w:rsid w:val="00B6456D"/>
    <w:rsid w:val="00B66E87"/>
    <w:rsid w:val="00B7296F"/>
    <w:rsid w:val="00B72989"/>
    <w:rsid w:val="00B74A4C"/>
    <w:rsid w:val="00B76051"/>
    <w:rsid w:val="00B76495"/>
    <w:rsid w:val="00B772A8"/>
    <w:rsid w:val="00B7787F"/>
    <w:rsid w:val="00B807D0"/>
    <w:rsid w:val="00B818D6"/>
    <w:rsid w:val="00B822F5"/>
    <w:rsid w:val="00B82665"/>
    <w:rsid w:val="00B84B9B"/>
    <w:rsid w:val="00B84F0F"/>
    <w:rsid w:val="00B85818"/>
    <w:rsid w:val="00B85AB4"/>
    <w:rsid w:val="00B8653E"/>
    <w:rsid w:val="00B87C3F"/>
    <w:rsid w:val="00B91F43"/>
    <w:rsid w:val="00B9235C"/>
    <w:rsid w:val="00B92768"/>
    <w:rsid w:val="00B92CF2"/>
    <w:rsid w:val="00B93592"/>
    <w:rsid w:val="00B940B5"/>
    <w:rsid w:val="00B96505"/>
    <w:rsid w:val="00B96819"/>
    <w:rsid w:val="00B96FC8"/>
    <w:rsid w:val="00BA0475"/>
    <w:rsid w:val="00BA0C3C"/>
    <w:rsid w:val="00BA4997"/>
    <w:rsid w:val="00BA5AA3"/>
    <w:rsid w:val="00BA6E7B"/>
    <w:rsid w:val="00BA7871"/>
    <w:rsid w:val="00BB08A2"/>
    <w:rsid w:val="00BB1695"/>
    <w:rsid w:val="00BB1A00"/>
    <w:rsid w:val="00BB40AB"/>
    <w:rsid w:val="00BB63AA"/>
    <w:rsid w:val="00BB7692"/>
    <w:rsid w:val="00BB7F92"/>
    <w:rsid w:val="00BB7FCE"/>
    <w:rsid w:val="00BC026F"/>
    <w:rsid w:val="00BC0CD8"/>
    <w:rsid w:val="00BC245D"/>
    <w:rsid w:val="00BC2B12"/>
    <w:rsid w:val="00BC441F"/>
    <w:rsid w:val="00BC5ABD"/>
    <w:rsid w:val="00BD0D44"/>
    <w:rsid w:val="00BD3746"/>
    <w:rsid w:val="00BD40F5"/>
    <w:rsid w:val="00BD70C4"/>
    <w:rsid w:val="00BE0B8C"/>
    <w:rsid w:val="00BE18BD"/>
    <w:rsid w:val="00BE22BB"/>
    <w:rsid w:val="00BE2684"/>
    <w:rsid w:val="00BE3607"/>
    <w:rsid w:val="00BE3756"/>
    <w:rsid w:val="00BE4FE0"/>
    <w:rsid w:val="00BE64C8"/>
    <w:rsid w:val="00BE7AA1"/>
    <w:rsid w:val="00BE7E1A"/>
    <w:rsid w:val="00BF1BA1"/>
    <w:rsid w:val="00BF20F5"/>
    <w:rsid w:val="00BF31C5"/>
    <w:rsid w:val="00BF3E95"/>
    <w:rsid w:val="00BF5E9C"/>
    <w:rsid w:val="00BF6A19"/>
    <w:rsid w:val="00BF7090"/>
    <w:rsid w:val="00BF77D4"/>
    <w:rsid w:val="00C005FE"/>
    <w:rsid w:val="00C00B09"/>
    <w:rsid w:val="00C01F54"/>
    <w:rsid w:val="00C05B89"/>
    <w:rsid w:val="00C0746C"/>
    <w:rsid w:val="00C1016B"/>
    <w:rsid w:val="00C11419"/>
    <w:rsid w:val="00C122D6"/>
    <w:rsid w:val="00C126CC"/>
    <w:rsid w:val="00C12BF7"/>
    <w:rsid w:val="00C13A3E"/>
    <w:rsid w:val="00C15DAE"/>
    <w:rsid w:val="00C16514"/>
    <w:rsid w:val="00C166DA"/>
    <w:rsid w:val="00C17342"/>
    <w:rsid w:val="00C21E45"/>
    <w:rsid w:val="00C226D4"/>
    <w:rsid w:val="00C229E2"/>
    <w:rsid w:val="00C23002"/>
    <w:rsid w:val="00C23BF2"/>
    <w:rsid w:val="00C255F4"/>
    <w:rsid w:val="00C2568A"/>
    <w:rsid w:val="00C25B06"/>
    <w:rsid w:val="00C25FED"/>
    <w:rsid w:val="00C26C74"/>
    <w:rsid w:val="00C270EB"/>
    <w:rsid w:val="00C272B3"/>
    <w:rsid w:val="00C306C4"/>
    <w:rsid w:val="00C30B5F"/>
    <w:rsid w:val="00C30EFA"/>
    <w:rsid w:val="00C31E0A"/>
    <w:rsid w:val="00C31F27"/>
    <w:rsid w:val="00C33A0B"/>
    <w:rsid w:val="00C36B76"/>
    <w:rsid w:val="00C40353"/>
    <w:rsid w:val="00C40DF7"/>
    <w:rsid w:val="00C42B03"/>
    <w:rsid w:val="00C4348B"/>
    <w:rsid w:val="00C43F57"/>
    <w:rsid w:val="00C4546D"/>
    <w:rsid w:val="00C462AA"/>
    <w:rsid w:val="00C472D4"/>
    <w:rsid w:val="00C47958"/>
    <w:rsid w:val="00C47FF9"/>
    <w:rsid w:val="00C517D5"/>
    <w:rsid w:val="00C51A3F"/>
    <w:rsid w:val="00C52107"/>
    <w:rsid w:val="00C5246F"/>
    <w:rsid w:val="00C53152"/>
    <w:rsid w:val="00C53A10"/>
    <w:rsid w:val="00C53AEF"/>
    <w:rsid w:val="00C56BE4"/>
    <w:rsid w:val="00C60993"/>
    <w:rsid w:val="00C61798"/>
    <w:rsid w:val="00C62020"/>
    <w:rsid w:val="00C622FB"/>
    <w:rsid w:val="00C6232A"/>
    <w:rsid w:val="00C642B2"/>
    <w:rsid w:val="00C64A9D"/>
    <w:rsid w:val="00C67BE9"/>
    <w:rsid w:val="00C71751"/>
    <w:rsid w:val="00C72ADF"/>
    <w:rsid w:val="00C734EA"/>
    <w:rsid w:val="00C746F3"/>
    <w:rsid w:val="00C749B4"/>
    <w:rsid w:val="00C760BA"/>
    <w:rsid w:val="00C764EE"/>
    <w:rsid w:val="00C776A3"/>
    <w:rsid w:val="00C80256"/>
    <w:rsid w:val="00C80635"/>
    <w:rsid w:val="00C81261"/>
    <w:rsid w:val="00C8290A"/>
    <w:rsid w:val="00C840F2"/>
    <w:rsid w:val="00C84DB7"/>
    <w:rsid w:val="00C85A70"/>
    <w:rsid w:val="00C9222D"/>
    <w:rsid w:val="00C94806"/>
    <w:rsid w:val="00C95356"/>
    <w:rsid w:val="00C9673E"/>
    <w:rsid w:val="00C9683E"/>
    <w:rsid w:val="00C97171"/>
    <w:rsid w:val="00CA01C4"/>
    <w:rsid w:val="00CA050B"/>
    <w:rsid w:val="00CA1BB3"/>
    <w:rsid w:val="00CA31FF"/>
    <w:rsid w:val="00CA3732"/>
    <w:rsid w:val="00CA60A7"/>
    <w:rsid w:val="00CA6B48"/>
    <w:rsid w:val="00CA6FE5"/>
    <w:rsid w:val="00CA7498"/>
    <w:rsid w:val="00CB279C"/>
    <w:rsid w:val="00CB4EEE"/>
    <w:rsid w:val="00CB5F3F"/>
    <w:rsid w:val="00CB6000"/>
    <w:rsid w:val="00CB7717"/>
    <w:rsid w:val="00CC16FA"/>
    <w:rsid w:val="00CC21CC"/>
    <w:rsid w:val="00CC2F52"/>
    <w:rsid w:val="00CC63BA"/>
    <w:rsid w:val="00CC761D"/>
    <w:rsid w:val="00CC78BC"/>
    <w:rsid w:val="00CD0D4A"/>
    <w:rsid w:val="00CD1040"/>
    <w:rsid w:val="00CD2A64"/>
    <w:rsid w:val="00CD2EEB"/>
    <w:rsid w:val="00CD339B"/>
    <w:rsid w:val="00CD4096"/>
    <w:rsid w:val="00CD52E3"/>
    <w:rsid w:val="00CD5F2D"/>
    <w:rsid w:val="00CD7BB6"/>
    <w:rsid w:val="00CE0ABA"/>
    <w:rsid w:val="00CE106C"/>
    <w:rsid w:val="00CE3EBB"/>
    <w:rsid w:val="00CE480F"/>
    <w:rsid w:val="00CE5BA0"/>
    <w:rsid w:val="00CE79F5"/>
    <w:rsid w:val="00CF1EF0"/>
    <w:rsid w:val="00CF2661"/>
    <w:rsid w:val="00CF2810"/>
    <w:rsid w:val="00CF2CF9"/>
    <w:rsid w:val="00CF370A"/>
    <w:rsid w:val="00CF38FD"/>
    <w:rsid w:val="00CF4E2B"/>
    <w:rsid w:val="00CF5F56"/>
    <w:rsid w:val="00D003E6"/>
    <w:rsid w:val="00D01442"/>
    <w:rsid w:val="00D01E41"/>
    <w:rsid w:val="00D0224B"/>
    <w:rsid w:val="00D02E03"/>
    <w:rsid w:val="00D03088"/>
    <w:rsid w:val="00D0337C"/>
    <w:rsid w:val="00D0351A"/>
    <w:rsid w:val="00D0369E"/>
    <w:rsid w:val="00D03785"/>
    <w:rsid w:val="00D05231"/>
    <w:rsid w:val="00D063C5"/>
    <w:rsid w:val="00D06584"/>
    <w:rsid w:val="00D07D17"/>
    <w:rsid w:val="00D10C0A"/>
    <w:rsid w:val="00D10E17"/>
    <w:rsid w:val="00D12CE7"/>
    <w:rsid w:val="00D12DB5"/>
    <w:rsid w:val="00D12E04"/>
    <w:rsid w:val="00D1318C"/>
    <w:rsid w:val="00D16A60"/>
    <w:rsid w:val="00D2003E"/>
    <w:rsid w:val="00D20604"/>
    <w:rsid w:val="00D2091C"/>
    <w:rsid w:val="00D20A2C"/>
    <w:rsid w:val="00D2151B"/>
    <w:rsid w:val="00D25C03"/>
    <w:rsid w:val="00D25CDA"/>
    <w:rsid w:val="00D26D59"/>
    <w:rsid w:val="00D27A52"/>
    <w:rsid w:val="00D30861"/>
    <w:rsid w:val="00D30D42"/>
    <w:rsid w:val="00D33F2C"/>
    <w:rsid w:val="00D340BC"/>
    <w:rsid w:val="00D350D8"/>
    <w:rsid w:val="00D3652C"/>
    <w:rsid w:val="00D3761D"/>
    <w:rsid w:val="00D414E2"/>
    <w:rsid w:val="00D41ADD"/>
    <w:rsid w:val="00D42E46"/>
    <w:rsid w:val="00D4344F"/>
    <w:rsid w:val="00D434A2"/>
    <w:rsid w:val="00D4377F"/>
    <w:rsid w:val="00D43982"/>
    <w:rsid w:val="00D44551"/>
    <w:rsid w:val="00D457F1"/>
    <w:rsid w:val="00D45BD0"/>
    <w:rsid w:val="00D4682B"/>
    <w:rsid w:val="00D476CB"/>
    <w:rsid w:val="00D47A7D"/>
    <w:rsid w:val="00D51174"/>
    <w:rsid w:val="00D518DE"/>
    <w:rsid w:val="00D51AA2"/>
    <w:rsid w:val="00D53B92"/>
    <w:rsid w:val="00D54047"/>
    <w:rsid w:val="00D54D47"/>
    <w:rsid w:val="00D575A2"/>
    <w:rsid w:val="00D60AB7"/>
    <w:rsid w:val="00D618D9"/>
    <w:rsid w:val="00D61F37"/>
    <w:rsid w:val="00D6204A"/>
    <w:rsid w:val="00D64455"/>
    <w:rsid w:val="00D64484"/>
    <w:rsid w:val="00D64B52"/>
    <w:rsid w:val="00D64E64"/>
    <w:rsid w:val="00D66C9C"/>
    <w:rsid w:val="00D706E6"/>
    <w:rsid w:val="00D74318"/>
    <w:rsid w:val="00D76541"/>
    <w:rsid w:val="00D76699"/>
    <w:rsid w:val="00D76C5F"/>
    <w:rsid w:val="00D773D0"/>
    <w:rsid w:val="00D8498D"/>
    <w:rsid w:val="00D87B43"/>
    <w:rsid w:val="00D90138"/>
    <w:rsid w:val="00D90FAD"/>
    <w:rsid w:val="00D93FC5"/>
    <w:rsid w:val="00D953A0"/>
    <w:rsid w:val="00D966F2"/>
    <w:rsid w:val="00DA0194"/>
    <w:rsid w:val="00DA13A7"/>
    <w:rsid w:val="00DA1B5A"/>
    <w:rsid w:val="00DA1CD2"/>
    <w:rsid w:val="00DA290E"/>
    <w:rsid w:val="00DA2990"/>
    <w:rsid w:val="00DA3865"/>
    <w:rsid w:val="00DA38AF"/>
    <w:rsid w:val="00DA6AC1"/>
    <w:rsid w:val="00DA7D84"/>
    <w:rsid w:val="00DB0049"/>
    <w:rsid w:val="00DB0553"/>
    <w:rsid w:val="00DB0E92"/>
    <w:rsid w:val="00DB10AE"/>
    <w:rsid w:val="00DB1D2F"/>
    <w:rsid w:val="00DB1DFE"/>
    <w:rsid w:val="00DB2D47"/>
    <w:rsid w:val="00DB31D6"/>
    <w:rsid w:val="00DB44BB"/>
    <w:rsid w:val="00DB494C"/>
    <w:rsid w:val="00DB49C8"/>
    <w:rsid w:val="00DB4F01"/>
    <w:rsid w:val="00DB50C7"/>
    <w:rsid w:val="00DB57F1"/>
    <w:rsid w:val="00DB5874"/>
    <w:rsid w:val="00DB73BD"/>
    <w:rsid w:val="00DC01D0"/>
    <w:rsid w:val="00DC05CD"/>
    <w:rsid w:val="00DC1215"/>
    <w:rsid w:val="00DC1B94"/>
    <w:rsid w:val="00DC23BB"/>
    <w:rsid w:val="00DC341F"/>
    <w:rsid w:val="00DC4B40"/>
    <w:rsid w:val="00DC5E87"/>
    <w:rsid w:val="00DC5F42"/>
    <w:rsid w:val="00DC6F0B"/>
    <w:rsid w:val="00DC7833"/>
    <w:rsid w:val="00DC7E88"/>
    <w:rsid w:val="00DD22D1"/>
    <w:rsid w:val="00DD277C"/>
    <w:rsid w:val="00DD5660"/>
    <w:rsid w:val="00DD5C74"/>
    <w:rsid w:val="00DD6A96"/>
    <w:rsid w:val="00DE17F9"/>
    <w:rsid w:val="00DE1891"/>
    <w:rsid w:val="00DE4116"/>
    <w:rsid w:val="00DE4C17"/>
    <w:rsid w:val="00DE4C5C"/>
    <w:rsid w:val="00DE5B29"/>
    <w:rsid w:val="00DE782D"/>
    <w:rsid w:val="00DE7F35"/>
    <w:rsid w:val="00DF0153"/>
    <w:rsid w:val="00DF303E"/>
    <w:rsid w:val="00DF44C0"/>
    <w:rsid w:val="00DF5053"/>
    <w:rsid w:val="00DF5FD4"/>
    <w:rsid w:val="00DF7C02"/>
    <w:rsid w:val="00E01898"/>
    <w:rsid w:val="00E02337"/>
    <w:rsid w:val="00E025AD"/>
    <w:rsid w:val="00E03CF7"/>
    <w:rsid w:val="00E03EDD"/>
    <w:rsid w:val="00E04A0A"/>
    <w:rsid w:val="00E04AC2"/>
    <w:rsid w:val="00E068D8"/>
    <w:rsid w:val="00E07235"/>
    <w:rsid w:val="00E07371"/>
    <w:rsid w:val="00E07D0A"/>
    <w:rsid w:val="00E10DF2"/>
    <w:rsid w:val="00E1139C"/>
    <w:rsid w:val="00E1266E"/>
    <w:rsid w:val="00E12EEB"/>
    <w:rsid w:val="00E15A62"/>
    <w:rsid w:val="00E176D8"/>
    <w:rsid w:val="00E21925"/>
    <w:rsid w:val="00E25A55"/>
    <w:rsid w:val="00E25E94"/>
    <w:rsid w:val="00E27475"/>
    <w:rsid w:val="00E27553"/>
    <w:rsid w:val="00E275A3"/>
    <w:rsid w:val="00E30042"/>
    <w:rsid w:val="00E30CA8"/>
    <w:rsid w:val="00E32159"/>
    <w:rsid w:val="00E32E1D"/>
    <w:rsid w:val="00E33EC7"/>
    <w:rsid w:val="00E34691"/>
    <w:rsid w:val="00E35263"/>
    <w:rsid w:val="00E36F69"/>
    <w:rsid w:val="00E37FAA"/>
    <w:rsid w:val="00E40692"/>
    <w:rsid w:val="00E4098E"/>
    <w:rsid w:val="00E40F24"/>
    <w:rsid w:val="00E40F8A"/>
    <w:rsid w:val="00E4175E"/>
    <w:rsid w:val="00E42B85"/>
    <w:rsid w:val="00E431DE"/>
    <w:rsid w:val="00E4351B"/>
    <w:rsid w:val="00E4425A"/>
    <w:rsid w:val="00E44E1A"/>
    <w:rsid w:val="00E44FA8"/>
    <w:rsid w:val="00E45394"/>
    <w:rsid w:val="00E46053"/>
    <w:rsid w:val="00E479E8"/>
    <w:rsid w:val="00E508F5"/>
    <w:rsid w:val="00E520AE"/>
    <w:rsid w:val="00E52585"/>
    <w:rsid w:val="00E563FB"/>
    <w:rsid w:val="00E56705"/>
    <w:rsid w:val="00E57467"/>
    <w:rsid w:val="00E57AAD"/>
    <w:rsid w:val="00E57BF2"/>
    <w:rsid w:val="00E61319"/>
    <w:rsid w:val="00E61633"/>
    <w:rsid w:val="00E62899"/>
    <w:rsid w:val="00E62BCB"/>
    <w:rsid w:val="00E63528"/>
    <w:rsid w:val="00E64C6E"/>
    <w:rsid w:val="00E6557C"/>
    <w:rsid w:val="00E67F8F"/>
    <w:rsid w:val="00E70ACD"/>
    <w:rsid w:val="00E70C0A"/>
    <w:rsid w:val="00E72398"/>
    <w:rsid w:val="00E728E6"/>
    <w:rsid w:val="00E72B9E"/>
    <w:rsid w:val="00E72C94"/>
    <w:rsid w:val="00E74060"/>
    <w:rsid w:val="00E76216"/>
    <w:rsid w:val="00E76643"/>
    <w:rsid w:val="00E76740"/>
    <w:rsid w:val="00E773EA"/>
    <w:rsid w:val="00E774FB"/>
    <w:rsid w:val="00E8167B"/>
    <w:rsid w:val="00E81BE1"/>
    <w:rsid w:val="00E81C9C"/>
    <w:rsid w:val="00E81CF2"/>
    <w:rsid w:val="00E81F3A"/>
    <w:rsid w:val="00E822AE"/>
    <w:rsid w:val="00E858F3"/>
    <w:rsid w:val="00E87C34"/>
    <w:rsid w:val="00E90855"/>
    <w:rsid w:val="00E93337"/>
    <w:rsid w:val="00E93C72"/>
    <w:rsid w:val="00E94196"/>
    <w:rsid w:val="00E94ABE"/>
    <w:rsid w:val="00E952C0"/>
    <w:rsid w:val="00E95707"/>
    <w:rsid w:val="00E97E35"/>
    <w:rsid w:val="00EA3843"/>
    <w:rsid w:val="00EA3EAF"/>
    <w:rsid w:val="00EA4B88"/>
    <w:rsid w:val="00EA4FC1"/>
    <w:rsid w:val="00EA61C8"/>
    <w:rsid w:val="00EB027C"/>
    <w:rsid w:val="00EB0468"/>
    <w:rsid w:val="00EC0600"/>
    <w:rsid w:val="00EC2F31"/>
    <w:rsid w:val="00EC51EB"/>
    <w:rsid w:val="00EC6154"/>
    <w:rsid w:val="00EC66C5"/>
    <w:rsid w:val="00ED057C"/>
    <w:rsid w:val="00ED0FD8"/>
    <w:rsid w:val="00ED10B1"/>
    <w:rsid w:val="00ED1DA0"/>
    <w:rsid w:val="00ED244E"/>
    <w:rsid w:val="00ED29CC"/>
    <w:rsid w:val="00ED311A"/>
    <w:rsid w:val="00ED39EB"/>
    <w:rsid w:val="00ED5D09"/>
    <w:rsid w:val="00ED5FEA"/>
    <w:rsid w:val="00ED665D"/>
    <w:rsid w:val="00ED6817"/>
    <w:rsid w:val="00ED741B"/>
    <w:rsid w:val="00EE02AE"/>
    <w:rsid w:val="00EE0367"/>
    <w:rsid w:val="00EE1F07"/>
    <w:rsid w:val="00EE217D"/>
    <w:rsid w:val="00EE23A5"/>
    <w:rsid w:val="00EE38CB"/>
    <w:rsid w:val="00EE4C2D"/>
    <w:rsid w:val="00EF13A4"/>
    <w:rsid w:val="00EF2675"/>
    <w:rsid w:val="00EF2B61"/>
    <w:rsid w:val="00EF2D9A"/>
    <w:rsid w:val="00EF35C3"/>
    <w:rsid w:val="00EF4625"/>
    <w:rsid w:val="00EF4B04"/>
    <w:rsid w:val="00EF5AE1"/>
    <w:rsid w:val="00EF6382"/>
    <w:rsid w:val="00EF7DEB"/>
    <w:rsid w:val="00F0163B"/>
    <w:rsid w:val="00F0333A"/>
    <w:rsid w:val="00F03D08"/>
    <w:rsid w:val="00F042CB"/>
    <w:rsid w:val="00F04FB3"/>
    <w:rsid w:val="00F06565"/>
    <w:rsid w:val="00F143DC"/>
    <w:rsid w:val="00F14699"/>
    <w:rsid w:val="00F14A11"/>
    <w:rsid w:val="00F14F16"/>
    <w:rsid w:val="00F15092"/>
    <w:rsid w:val="00F15CA9"/>
    <w:rsid w:val="00F15E9A"/>
    <w:rsid w:val="00F1760B"/>
    <w:rsid w:val="00F20BA9"/>
    <w:rsid w:val="00F20C21"/>
    <w:rsid w:val="00F21013"/>
    <w:rsid w:val="00F21CE1"/>
    <w:rsid w:val="00F2395D"/>
    <w:rsid w:val="00F23F26"/>
    <w:rsid w:val="00F241CB"/>
    <w:rsid w:val="00F24840"/>
    <w:rsid w:val="00F2600D"/>
    <w:rsid w:val="00F279A1"/>
    <w:rsid w:val="00F30576"/>
    <w:rsid w:val="00F30C70"/>
    <w:rsid w:val="00F33CE3"/>
    <w:rsid w:val="00F3527A"/>
    <w:rsid w:val="00F363A8"/>
    <w:rsid w:val="00F36C30"/>
    <w:rsid w:val="00F36F64"/>
    <w:rsid w:val="00F3747B"/>
    <w:rsid w:val="00F3749D"/>
    <w:rsid w:val="00F374D2"/>
    <w:rsid w:val="00F401A9"/>
    <w:rsid w:val="00F40AB4"/>
    <w:rsid w:val="00F4338D"/>
    <w:rsid w:val="00F445E4"/>
    <w:rsid w:val="00F46056"/>
    <w:rsid w:val="00F47447"/>
    <w:rsid w:val="00F507D4"/>
    <w:rsid w:val="00F51B3D"/>
    <w:rsid w:val="00F52998"/>
    <w:rsid w:val="00F52A03"/>
    <w:rsid w:val="00F5322F"/>
    <w:rsid w:val="00F5377D"/>
    <w:rsid w:val="00F541E7"/>
    <w:rsid w:val="00F54664"/>
    <w:rsid w:val="00F55096"/>
    <w:rsid w:val="00F551EE"/>
    <w:rsid w:val="00F5521A"/>
    <w:rsid w:val="00F56496"/>
    <w:rsid w:val="00F60461"/>
    <w:rsid w:val="00F60AEE"/>
    <w:rsid w:val="00F6183B"/>
    <w:rsid w:val="00F62B18"/>
    <w:rsid w:val="00F64F4D"/>
    <w:rsid w:val="00F65260"/>
    <w:rsid w:val="00F65523"/>
    <w:rsid w:val="00F65FE9"/>
    <w:rsid w:val="00F668CF"/>
    <w:rsid w:val="00F66A10"/>
    <w:rsid w:val="00F70C58"/>
    <w:rsid w:val="00F70F0C"/>
    <w:rsid w:val="00F723C3"/>
    <w:rsid w:val="00F7313E"/>
    <w:rsid w:val="00F73ADF"/>
    <w:rsid w:val="00F75B8C"/>
    <w:rsid w:val="00F77A67"/>
    <w:rsid w:val="00F77E8F"/>
    <w:rsid w:val="00F803B9"/>
    <w:rsid w:val="00F80A28"/>
    <w:rsid w:val="00F82BF7"/>
    <w:rsid w:val="00F838F2"/>
    <w:rsid w:val="00F839DB"/>
    <w:rsid w:val="00F85A5C"/>
    <w:rsid w:val="00F85B79"/>
    <w:rsid w:val="00F871DC"/>
    <w:rsid w:val="00F93658"/>
    <w:rsid w:val="00F9439E"/>
    <w:rsid w:val="00FA013B"/>
    <w:rsid w:val="00FA0DA5"/>
    <w:rsid w:val="00FA11B9"/>
    <w:rsid w:val="00FA2A2A"/>
    <w:rsid w:val="00FA2B09"/>
    <w:rsid w:val="00FA2DA2"/>
    <w:rsid w:val="00FA6310"/>
    <w:rsid w:val="00FA6E0E"/>
    <w:rsid w:val="00FA791B"/>
    <w:rsid w:val="00FB0511"/>
    <w:rsid w:val="00FB1E43"/>
    <w:rsid w:val="00FB3247"/>
    <w:rsid w:val="00FB5EDC"/>
    <w:rsid w:val="00FB60D4"/>
    <w:rsid w:val="00FB6BAF"/>
    <w:rsid w:val="00FC1493"/>
    <w:rsid w:val="00FC1837"/>
    <w:rsid w:val="00FC43D0"/>
    <w:rsid w:val="00FC59B5"/>
    <w:rsid w:val="00FC608A"/>
    <w:rsid w:val="00FC6EEC"/>
    <w:rsid w:val="00FC765B"/>
    <w:rsid w:val="00FC7B11"/>
    <w:rsid w:val="00FD02E5"/>
    <w:rsid w:val="00FD307A"/>
    <w:rsid w:val="00FD41A4"/>
    <w:rsid w:val="00FD5019"/>
    <w:rsid w:val="00FD530F"/>
    <w:rsid w:val="00FD6E8A"/>
    <w:rsid w:val="00FE02DD"/>
    <w:rsid w:val="00FE0784"/>
    <w:rsid w:val="00FE2892"/>
    <w:rsid w:val="00FE48FC"/>
    <w:rsid w:val="00FE5F59"/>
    <w:rsid w:val="00FE7B41"/>
    <w:rsid w:val="00FE7CF5"/>
    <w:rsid w:val="00FF0112"/>
    <w:rsid w:val="00FF195B"/>
    <w:rsid w:val="00FF1EDE"/>
    <w:rsid w:val="00FF221A"/>
    <w:rsid w:val="00FF3ABE"/>
    <w:rsid w:val="00FF5155"/>
    <w:rsid w:val="00FF62D7"/>
    <w:rsid w:val="00FF65B5"/>
    <w:rsid w:val="00FF7678"/>
    <w:rsid w:val="00FF77B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D5FF2"/>
  <w15:docId w15:val="{0CE55BBF-A340-43FF-8FA2-9EF01830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A6C"/>
    <w:pPr>
      <w:spacing w:after="60"/>
    </w:pPr>
    <w:rPr>
      <w:rFonts w:ascii="Calibri" w:eastAsia="Calibri" w:hAnsi="Calibri"/>
    </w:rPr>
  </w:style>
  <w:style w:type="paragraph" w:styleId="Heading1">
    <w:name w:val="heading 1"/>
    <w:basedOn w:val="Normal"/>
    <w:next w:val="Normal"/>
    <w:link w:val="Heading1Char"/>
    <w:uiPriority w:val="9"/>
    <w:qFormat/>
    <w:rsid w:val="00A444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4449F"/>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val="en-IN" w:eastAsia="en-IN"/>
    </w:rPr>
  </w:style>
  <w:style w:type="paragraph" w:styleId="Heading3">
    <w:name w:val="heading 3"/>
    <w:basedOn w:val="Normal"/>
    <w:next w:val="Normal"/>
    <w:link w:val="Heading3Char"/>
    <w:uiPriority w:val="9"/>
    <w:semiHidden/>
    <w:unhideWhenUsed/>
    <w:qFormat/>
    <w:rsid w:val="00482E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050B7"/>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050B7"/>
    <w:rPr>
      <w:rFonts w:ascii="Times New Roman" w:eastAsia="Times New Roman" w:hAnsi="Times New Roman" w:cs="Times New Roman"/>
      <w:sz w:val="24"/>
      <w:szCs w:val="24"/>
    </w:rPr>
  </w:style>
  <w:style w:type="paragraph" w:styleId="Footer">
    <w:name w:val="footer"/>
    <w:basedOn w:val="Normal"/>
    <w:link w:val="FooterChar"/>
    <w:uiPriority w:val="99"/>
    <w:rsid w:val="003050B7"/>
    <w:pPr>
      <w:tabs>
        <w:tab w:val="center" w:pos="4320"/>
        <w:tab w:val="right" w:pos="8640"/>
      </w:tabs>
      <w:spacing w:after="0"/>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050B7"/>
    <w:rPr>
      <w:rFonts w:ascii="Times New Roman" w:eastAsia="Times New Roman" w:hAnsi="Times New Roman" w:cs="Times New Roman"/>
      <w:sz w:val="24"/>
      <w:szCs w:val="24"/>
    </w:rPr>
  </w:style>
  <w:style w:type="character" w:styleId="Strong">
    <w:name w:val="Strong"/>
    <w:basedOn w:val="DefaultParagraphFont"/>
    <w:qFormat/>
    <w:rsid w:val="003050B7"/>
    <w:rPr>
      <w:b/>
      <w:bCs/>
    </w:rPr>
  </w:style>
  <w:style w:type="paragraph" w:styleId="BalloonText">
    <w:name w:val="Balloon Text"/>
    <w:basedOn w:val="Normal"/>
    <w:link w:val="BalloonTextChar"/>
    <w:uiPriority w:val="99"/>
    <w:semiHidden/>
    <w:unhideWhenUsed/>
    <w:rsid w:val="00B9359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592"/>
    <w:rPr>
      <w:rFonts w:ascii="Tahoma" w:hAnsi="Tahoma" w:cs="Tahoma"/>
      <w:sz w:val="16"/>
      <w:szCs w:val="16"/>
    </w:rPr>
  </w:style>
  <w:style w:type="paragraph" w:styleId="ListParagraph">
    <w:name w:val="List Paragraph"/>
    <w:basedOn w:val="Normal"/>
    <w:link w:val="ListParagraphChar"/>
    <w:uiPriority w:val="34"/>
    <w:qFormat/>
    <w:rsid w:val="004E7314"/>
    <w:pPr>
      <w:ind w:left="720"/>
      <w:contextualSpacing/>
    </w:pPr>
  </w:style>
  <w:style w:type="character" w:customStyle="1" w:styleId="ListParagraphChar">
    <w:name w:val="List Paragraph Char"/>
    <w:basedOn w:val="DefaultParagraphFont"/>
    <w:link w:val="ListParagraph"/>
    <w:uiPriority w:val="34"/>
    <w:rsid w:val="006D1B43"/>
  </w:style>
  <w:style w:type="table" w:styleId="TableGrid">
    <w:name w:val="Table Grid"/>
    <w:basedOn w:val="TableNormal"/>
    <w:uiPriority w:val="59"/>
    <w:rsid w:val="00902A5C"/>
    <w:pPr>
      <w:spacing w:after="0"/>
    </w:pPr>
    <w:rPr>
      <w:rFonts w:eastAsiaTheme="minorEastAsia"/>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A4449F"/>
    <w:rPr>
      <w:rFonts w:asciiTheme="majorHAnsi" w:eastAsiaTheme="majorEastAsia" w:hAnsiTheme="majorHAnsi" w:cstheme="majorBidi"/>
      <w:b/>
      <w:bCs/>
      <w:color w:val="4F81BD" w:themeColor="accent1"/>
      <w:sz w:val="26"/>
      <w:szCs w:val="26"/>
      <w:lang w:val="en-IN" w:eastAsia="en-IN"/>
    </w:rPr>
  </w:style>
  <w:style w:type="paragraph" w:customStyle="1" w:styleId="AJMBNK-Heading1">
    <w:name w:val="AJMBNK-Heading 1"/>
    <w:basedOn w:val="Heading1"/>
    <w:autoRedefine/>
    <w:qFormat/>
    <w:rsid w:val="00A4449F"/>
    <w:pPr>
      <w:keepLines w:val="0"/>
      <w:numPr>
        <w:numId w:val="1"/>
      </w:numPr>
      <w:tabs>
        <w:tab w:val="left" w:pos="1134"/>
      </w:tabs>
      <w:spacing w:before="240" w:after="60" w:line="360" w:lineRule="auto"/>
      <w:ind w:right="113"/>
    </w:pPr>
    <w:rPr>
      <w:rFonts w:ascii="Tahoma" w:eastAsia="Times New Roman" w:hAnsi="Tahoma" w:cs="Tahoma"/>
      <w:smallCaps/>
      <w:color w:val="000080"/>
      <w:spacing w:val="20"/>
      <w:kern w:val="32"/>
      <w:lang w:val="en-GB" w:eastAsia="en-IN"/>
    </w:rPr>
  </w:style>
  <w:style w:type="paragraph" w:customStyle="1" w:styleId="AJMBNK-Heading2">
    <w:name w:val="AJMBNK- Heading2"/>
    <w:basedOn w:val="Normal"/>
    <w:autoRedefine/>
    <w:qFormat/>
    <w:rsid w:val="00A4449F"/>
    <w:pPr>
      <w:numPr>
        <w:ilvl w:val="1"/>
        <w:numId w:val="1"/>
      </w:numPr>
      <w:tabs>
        <w:tab w:val="left" w:pos="567"/>
      </w:tabs>
      <w:spacing w:line="276" w:lineRule="auto"/>
      <w:ind w:left="720" w:hanging="426"/>
    </w:pPr>
    <w:rPr>
      <w:rFonts w:cs="Arial"/>
      <w:b/>
      <w:lang w:val="en-GB" w:eastAsia="en-IN"/>
    </w:rPr>
  </w:style>
  <w:style w:type="paragraph" w:customStyle="1" w:styleId="H3-AJMBNK">
    <w:name w:val="H3-AJMBNK"/>
    <w:basedOn w:val="Normal"/>
    <w:qFormat/>
    <w:rsid w:val="00A4449F"/>
    <w:pPr>
      <w:numPr>
        <w:ilvl w:val="2"/>
        <w:numId w:val="1"/>
      </w:numPr>
      <w:spacing w:line="276" w:lineRule="auto"/>
    </w:pPr>
    <w:rPr>
      <w:rFonts w:ascii="Century Gothic" w:hAnsi="Century Gothic" w:cs="Times New Roman"/>
      <w:szCs w:val="20"/>
      <w:lang w:val="en-GB" w:eastAsia="en-IN"/>
    </w:rPr>
  </w:style>
  <w:style w:type="character" w:customStyle="1" w:styleId="Heading1Char">
    <w:name w:val="Heading 1 Char"/>
    <w:basedOn w:val="DefaultParagraphFont"/>
    <w:link w:val="Heading1"/>
    <w:uiPriority w:val="9"/>
    <w:rsid w:val="00A4449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482EF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3F3CC2-D07D-4B4C-B3DF-6E5855877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3541</Words>
  <Characters>20184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SMSA Leadership and Personnel Transition Policy</vt:lpstr>
    </vt:vector>
  </TitlesOfParts>
  <Company>Microsoft</Company>
  <LinksUpToDate>false</LinksUpToDate>
  <CharactersWithSpaces>23678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SMSA Leadership and Personnel Transition Policy</dc:title>
  <dc:subject>Leadership and personnel transition, acting authority, handover and employee rights</dc:subject>
  <dc:creator>SMSA</dc:creator>
  <cp:keywords>SMSA, HR, transition, handover, acting, interim, authority, labour law</cp:keywords>
  <dc:description>Final reviewed draft aligned with current SMSA policies and controls.</dc:description>
  <cp:revision>9</cp:revision>
  <dcterms:created xsi:type="dcterms:W3CDTF">2026-08-17T11:09:00Z</dcterms:created>
  <dcterms:modified xsi:type="dcterms:W3CDTF">2026-09-13T08:49:00Z</dcterms:modified>
</cp:coreProperties>
</file>