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640"/>
      </w:tblGrid>
      <w:tr w:rsidR="005F3744" w:rsidRPr="00EA049B" w14:paraId="71265E72" w14:textId="77777777" w:rsidTr="00E20DD5">
        <w:tc>
          <w:tcPr>
            <w:tcW w:w="1800" w:type="dxa"/>
          </w:tcPr>
          <w:p w14:paraId="45DBF83B"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Brief</w:t>
            </w:r>
          </w:p>
        </w:tc>
        <w:tc>
          <w:tcPr>
            <w:tcW w:w="8640" w:type="dxa"/>
          </w:tcPr>
          <w:p w14:paraId="22CEC348" w14:textId="77777777" w:rsidR="005F3744" w:rsidRPr="00E20DD5" w:rsidRDefault="005F3744" w:rsidP="00E20DD5">
            <w:pPr>
              <w:spacing w:before="120" w:after="120"/>
              <w:ind w:left="70" w:right="70"/>
              <w:jc w:val="both"/>
              <w:rPr>
                <w:rFonts w:cstheme="minorHAnsi"/>
                <w:sz w:val="24"/>
                <w:szCs w:val="24"/>
              </w:rPr>
            </w:pPr>
            <w:r w:rsidRPr="00E20DD5">
              <w:rPr>
                <w:rFonts w:cstheme="minorHAnsi"/>
                <w:sz w:val="24"/>
                <w:szCs w:val="24"/>
              </w:rPr>
              <w:t>It is the policy of the Company to stipulate conditions for document control and retention.</w:t>
            </w:r>
          </w:p>
        </w:tc>
      </w:tr>
      <w:tr w:rsidR="005F3744" w:rsidRPr="00EA049B" w14:paraId="07A15D33" w14:textId="77777777" w:rsidTr="00E20DD5">
        <w:tc>
          <w:tcPr>
            <w:tcW w:w="1800" w:type="dxa"/>
          </w:tcPr>
          <w:p w14:paraId="68022B94"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Purpose</w:t>
            </w:r>
          </w:p>
        </w:tc>
        <w:tc>
          <w:tcPr>
            <w:tcW w:w="8640" w:type="dxa"/>
          </w:tcPr>
          <w:p w14:paraId="364EC9D2" w14:textId="77777777" w:rsidR="005F3744" w:rsidRPr="00E20DD5" w:rsidRDefault="005F3744" w:rsidP="00E20DD5">
            <w:pPr>
              <w:spacing w:before="120" w:after="120"/>
              <w:ind w:left="70" w:right="70"/>
              <w:jc w:val="both"/>
              <w:rPr>
                <w:rFonts w:cstheme="minorHAnsi"/>
                <w:sz w:val="24"/>
                <w:szCs w:val="24"/>
              </w:rPr>
            </w:pPr>
            <w:r w:rsidRPr="00E20DD5">
              <w:rPr>
                <w:rFonts w:cstheme="minorHAnsi"/>
                <w:sz w:val="24"/>
                <w:szCs w:val="24"/>
              </w:rPr>
              <w:t>This procedure describes the method of control of all physical records within SMSA Bahrain. It is designed to ensure that all records are identified, collected, completed, filed, stored, maintained, and disposed in a consistent manner.</w:t>
            </w:r>
          </w:p>
        </w:tc>
      </w:tr>
      <w:tr w:rsidR="005F3744" w:rsidRPr="00EA049B" w14:paraId="6FBE17AB" w14:textId="77777777" w:rsidTr="00E20DD5">
        <w:tc>
          <w:tcPr>
            <w:tcW w:w="1800" w:type="dxa"/>
          </w:tcPr>
          <w:p w14:paraId="5481342F"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Scope</w:t>
            </w:r>
          </w:p>
        </w:tc>
        <w:tc>
          <w:tcPr>
            <w:tcW w:w="8640" w:type="dxa"/>
          </w:tcPr>
          <w:p w14:paraId="7BBBD3ED" w14:textId="77777777" w:rsidR="005F3744" w:rsidRPr="00E20DD5" w:rsidRDefault="005F3744" w:rsidP="00E20DD5">
            <w:pPr>
              <w:spacing w:before="120" w:after="120"/>
              <w:ind w:left="70" w:right="70"/>
              <w:jc w:val="both"/>
              <w:rPr>
                <w:rStyle w:val="Strong"/>
                <w:rFonts w:cstheme="minorHAnsi"/>
                <w:b w:val="0"/>
                <w:bCs w:val="0"/>
                <w:sz w:val="24"/>
                <w:szCs w:val="24"/>
              </w:rPr>
            </w:pPr>
            <w:r w:rsidRPr="00E20DD5">
              <w:rPr>
                <w:rFonts w:cstheme="minorHAnsi"/>
                <w:sz w:val="24"/>
                <w:szCs w:val="24"/>
              </w:rPr>
              <w:t>This procedure applies to all records in IBU, Bahrain</w:t>
            </w:r>
          </w:p>
        </w:tc>
      </w:tr>
      <w:tr w:rsidR="005F3744" w:rsidRPr="00EA049B" w14:paraId="4B622471" w14:textId="77777777" w:rsidTr="00E20DD5">
        <w:tc>
          <w:tcPr>
            <w:tcW w:w="1800" w:type="dxa"/>
          </w:tcPr>
          <w:p w14:paraId="6A9EDC9A"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Definition</w:t>
            </w:r>
          </w:p>
        </w:tc>
        <w:tc>
          <w:tcPr>
            <w:tcW w:w="8640" w:type="dxa"/>
          </w:tcPr>
          <w:p w14:paraId="6B81E5EC" w14:textId="77777777" w:rsidR="005F3744" w:rsidRPr="00E20DD5" w:rsidRDefault="005F3744" w:rsidP="00E20DD5">
            <w:pPr>
              <w:spacing w:before="120" w:after="120"/>
              <w:ind w:left="70" w:right="70"/>
              <w:jc w:val="both"/>
              <w:rPr>
                <w:rFonts w:cstheme="minorHAnsi"/>
                <w:sz w:val="24"/>
                <w:szCs w:val="24"/>
              </w:rPr>
            </w:pPr>
            <w:r w:rsidRPr="00E20DD5">
              <w:rPr>
                <w:rFonts w:cstheme="minorHAnsi"/>
                <w:sz w:val="24"/>
                <w:szCs w:val="24"/>
              </w:rPr>
              <w:t xml:space="preserve">Record – All data and other evidence supporting the completed set of event, </w:t>
            </w:r>
            <w:r w:rsidR="00EF087A" w:rsidRPr="00E20DD5">
              <w:rPr>
                <w:rFonts w:cstheme="minorHAnsi"/>
                <w:sz w:val="24"/>
                <w:szCs w:val="24"/>
              </w:rPr>
              <w:t>job,</w:t>
            </w:r>
            <w:r w:rsidRPr="00E20DD5">
              <w:rPr>
                <w:rFonts w:cstheme="minorHAnsi"/>
                <w:sz w:val="24"/>
                <w:szCs w:val="24"/>
              </w:rPr>
              <w:t xml:space="preserve"> program or activity.</w:t>
            </w:r>
          </w:p>
          <w:p w14:paraId="715E70BD" w14:textId="77777777" w:rsidR="005F3744" w:rsidRPr="00E20DD5" w:rsidRDefault="005F3744" w:rsidP="00E20DD5">
            <w:pPr>
              <w:tabs>
                <w:tab w:val="left" w:pos="-720"/>
              </w:tabs>
              <w:suppressAutoHyphens/>
              <w:spacing w:before="120" w:after="120" w:line="320" w:lineRule="exact"/>
              <w:ind w:left="70" w:right="70"/>
              <w:jc w:val="lowKashida"/>
              <w:rPr>
                <w:rFonts w:cstheme="minorHAnsi"/>
                <w:sz w:val="24"/>
                <w:szCs w:val="24"/>
              </w:rPr>
            </w:pPr>
            <w:r w:rsidRPr="00E20DD5">
              <w:rPr>
                <w:rFonts w:cstheme="minorHAnsi"/>
                <w:sz w:val="24"/>
                <w:szCs w:val="24"/>
              </w:rPr>
              <w:t>Retention Period – The period of time for which records are retained beyond the program life.</w:t>
            </w:r>
          </w:p>
          <w:p w14:paraId="4F17F2FA" w14:textId="77777777" w:rsidR="000C3CD7" w:rsidRPr="00E20DD5" w:rsidRDefault="000C3CD7" w:rsidP="00E20DD5">
            <w:pPr>
              <w:tabs>
                <w:tab w:val="left" w:pos="-720"/>
              </w:tabs>
              <w:suppressAutoHyphens/>
              <w:spacing w:before="120" w:after="120" w:line="320" w:lineRule="exact"/>
              <w:ind w:left="70" w:right="70"/>
              <w:jc w:val="lowKashida"/>
              <w:rPr>
                <w:rFonts w:cstheme="minorHAnsi"/>
                <w:sz w:val="24"/>
                <w:szCs w:val="24"/>
              </w:rPr>
            </w:pPr>
            <w:r w:rsidRPr="00E20DD5">
              <w:rPr>
                <w:rFonts w:cstheme="minorHAnsi"/>
                <w:sz w:val="24"/>
                <w:szCs w:val="24"/>
              </w:rPr>
              <w:t xml:space="preserve">Primary Location – Is the location where the initial files are stored within the retention period </w:t>
            </w:r>
          </w:p>
          <w:p w14:paraId="64D14572" w14:textId="77777777" w:rsidR="000C3CD7" w:rsidRPr="00E20DD5" w:rsidRDefault="000C3CD7" w:rsidP="00E20DD5">
            <w:pPr>
              <w:tabs>
                <w:tab w:val="left" w:pos="-720"/>
              </w:tabs>
              <w:suppressAutoHyphens/>
              <w:spacing w:before="120" w:after="120" w:line="320" w:lineRule="exact"/>
              <w:ind w:left="70" w:right="70"/>
              <w:jc w:val="lowKashida"/>
              <w:rPr>
                <w:rFonts w:cstheme="minorHAnsi"/>
                <w:sz w:val="24"/>
                <w:szCs w:val="24"/>
              </w:rPr>
            </w:pPr>
            <w:r w:rsidRPr="00E20DD5">
              <w:rPr>
                <w:rFonts w:cstheme="minorHAnsi"/>
                <w:sz w:val="24"/>
                <w:szCs w:val="24"/>
              </w:rPr>
              <w:t xml:space="preserve">Secondary Location – Is the location where the Files/Boxes are stored beyond the retention period until the end of the </w:t>
            </w:r>
            <w:r w:rsidR="00202181" w:rsidRPr="00E20DD5">
              <w:rPr>
                <w:rFonts w:cstheme="minorHAnsi"/>
                <w:sz w:val="24"/>
                <w:szCs w:val="24"/>
              </w:rPr>
              <w:t>program</w:t>
            </w:r>
            <w:r w:rsidRPr="00E20DD5">
              <w:rPr>
                <w:rFonts w:cstheme="minorHAnsi"/>
                <w:sz w:val="24"/>
                <w:szCs w:val="24"/>
              </w:rPr>
              <w:t xml:space="preserve"> period</w:t>
            </w:r>
          </w:p>
        </w:tc>
      </w:tr>
      <w:tr w:rsidR="005F3744" w:rsidRPr="00EA049B" w14:paraId="59D856CE" w14:textId="77777777" w:rsidTr="00E20DD5">
        <w:tc>
          <w:tcPr>
            <w:tcW w:w="1800" w:type="dxa"/>
          </w:tcPr>
          <w:p w14:paraId="0F1CF0D3"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Responsibilities</w:t>
            </w:r>
          </w:p>
        </w:tc>
        <w:tc>
          <w:tcPr>
            <w:tcW w:w="8640" w:type="dxa"/>
          </w:tcPr>
          <w:p w14:paraId="644F8619" w14:textId="77777777" w:rsidR="005F3744" w:rsidRPr="00E20DD5" w:rsidRDefault="005F3744" w:rsidP="00E20DD5">
            <w:pPr>
              <w:spacing w:before="120" w:after="120"/>
              <w:ind w:left="70" w:right="70"/>
              <w:jc w:val="both"/>
              <w:rPr>
                <w:rStyle w:val="Strong"/>
                <w:rFonts w:cstheme="minorHAnsi"/>
                <w:b w:val="0"/>
                <w:bCs w:val="0"/>
                <w:sz w:val="24"/>
                <w:szCs w:val="24"/>
              </w:rPr>
            </w:pPr>
            <w:r w:rsidRPr="00E20DD5">
              <w:rPr>
                <w:rStyle w:val="Strong"/>
                <w:rFonts w:cstheme="minorHAnsi"/>
                <w:b w:val="0"/>
                <w:sz w:val="24"/>
                <w:szCs w:val="24"/>
              </w:rPr>
              <w:t>Employees and Department Head.</w:t>
            </w:r>
          </w:p>
        </w:tc>
      </w:tr>
      <w:tr w:rsidR="005F3744" w:rsidRPr="00EA049B" w14:paraId="74141136" w14:textId="77777777" w:rsidTr="00E20DD5">
        <w:trPr>
          <w:trHeight w:val="5753"/>
        </w:trPr>
        <w:tc>
          <w:tcPr>
            <w:tcW w:w="1800" w:type="dxa"/>
          </w:tcPr>
          <w:p w14:paraId="5B8701FD"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t>Procedure</w:t>
            </w:r>
          </w:p>
        </w:tc>
        <w:tc>
          <w:tcPr>
            <w:tcW w:w="8640" w:type="dxa"/>
          </w:tcPr>
          <w:p w14:paraId="656428FD" w14:textId="77777777" w:rsidR="00563ABB" w:rsidRPr="00E20DD5" w:rsidRDefault="00563ABB" w:rsidP="00E20DD5">
            <w:pPr>
              <w:pStyle w:val="ListParagraph"/>
              <w:numPr>
                <w:ilvl w:val="0"/>
                <w:numId w:val="9"/>
              </w:numPr>
              <w:autoSpaceDE w:val="0"/>
              <w:spacing w:before="120"/>
              <w:ind w:left="430" w:right="70"/>
              <w:jc w:val="both"/>
              <w:rPr>
                <w:rFonts w:asciiTheme="minorHAnsi" w:hAnsiTheme="minorHAnsi" w:cstheme="minorHAnsi"/>
                <w:b/>
              </w:rPr>
            </w:pPr>
            <w:r w:rsidRPr="00E20DD5">
              <w:rPr>
                <w:rFonts w:asciiTheme="minorHAnsi" w:hAnsiTheme="minorHAnsi" w:cstheme="minorHAnsi"/>
                <w:b/>
              </w:rPr>
              <w:t>Control of Records</w:t>
            </w:r>
          </w:p>
          <w:p w14:paraId="4E856932" w14:textId="77777777" w:rsidR="00563ABB" w:rsidRPr="00E20DD5" w:rsidRDefault="00EF087A"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Identification of records</w:t>
            </w:r>
          </w:p>
          <w:p w14:paraId="6F218398" w14:textId="77F8D9F7" w:rsidR="00EF087A" w:rsidRPr="00E20DD5" w:rsidRDefault="00EF087A"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Define the retention period of the record by the department head based on (Compliance, Government requirement and or business need of maintaining physical records for reference)</w:t>
            </w:r>
          </w:p>
          <w:p w14:paraId="73C255A7" w14:textId="0655C50A" w:rsidR="009855B6" w:rsidRPr="00E20DD5" w:rsidRDefault="009855B6"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 xml:space="preserve">Choosing the right color file and Label </w:t>
            </w:r>
          </w:p>
          <w:p w14:paraId="015CD631" w14:textId="77777777" w:rsidR="00563ABB" w:rsidRPr="00E20DD5" w:rsidRDefault="00563ABB"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Records are indexed according to the filing sequence indicated on the folder label.</w:t>
            </w:r>
          </w:p>
          <w:p w14:paraId="6191C647" w14:textId="77777777" w:rsidR="00563ABB" w:rsidRPr="00E20DD5" w:rsidRDefault="00563ABB"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The master set of record forms will be controlled through the GUIDE system as per the document control procedure. The document change control system shall be used to implement revision of record forms as per document control procedure.</w:t>
            </w:r>
          </w:p>
          <w:p w14:paraId="30707FA4" w14:textId="77777777" w:rsidR="00563ABB" w:rsidRPr="00E20DD5" w:rsidRDefault="00563ABB" w:rsidP="00E20DD5">
            <w:pPr>
              <w:pStyle w:val="ListParagraph"/>
              <w:numPr>
                <w:ilvl w:val="1"/>
                <w:numId w:val="9"/>
              </w:numPr>
              <w:autoSpaceDE w:val="0"/>
              <w:spacing w:before="120"/>
              <w:ind w:left="792" w:right="70"/>
              <w:jc w:val="both"/>
              <w:rPr>
                <w:rFonts w:asciiTheme="minorHAnsi" w:hAnsiTheme="minorHAnsi" w:cstheme="minorHAnsi"/>
              </w:rPr>
            </w:pPr>
            <w:r w:rsidRPr="00E20DD5">
              <w:rPr>
                <w:rFonts w:asciiTheme="minorHAnsi" w:hAnsiTheme="minorHAnsi" w:cstheme="minorHAnsi"/>
              </w:rPr>
              <w:t>Composed Records shall be routed in accordance with the relevant Quality Procedures and shall be stored in the designated location under the authorized personnel who shall be responsible for their safekeeping until their Operations are done.</w:t>
            </w:r>
          </w:p>
          <w:p w14:paraId="66DD8075" w14:textId="77777777" w:rsidR="00563ABB" w:rsidRPr="00E20DD5" w:rsidRDefault="00563ABB" w:rsidP="00E20DD5">
            <w:pPr>
              <w:pStyle w:val="ListParagraph"/>
              <w:numPr>
                <w:ilvl w:val="0"/>
                <w:numId w:val="9"/>
              </w:numPr>
              <w:autoSpaceDE w:val="0"/>
              <w:spacing w:before="120" w:after="120"/>
              <w:ind w:left="430"/>
              <w:jc w:val="both"/>
              <w:rPr>
                <w:rFonts w:asciiTheme="minorHAnsi" w:hAnsiTheme="minorHAnsi" w:cstheme="minorHAnsi"/>
              </w:rPr>
            </w:pPr>
            <w:r w:rsidRPr="00E20DD5">
              <w:rPr>
                <w:rFonts w:asciiTheme="minorHAnsi" w:hAnsiTheme="minorHAnsi" w:cstheme="minorHAnsi"/>
                <w:b/>
              </w:rPr>
              <w:t>Storage of Records</w:t>
            </w:r>
          </w:p>
          <w:p w14:paraId="5A95E617" w14:textId="77777777" w:rsidR="00563ABB" w:rsidRPr="00E20DD5" w:rsidRDefault="00563ABB" w:rsidP="00E20DD5">
            <w:pPr>
              <w:pStyle w:val="ListParagraph"/>
              <w:numPr>
                <w:ilvl w:val="1"/>
                <w:numId w:val="9"/>
              </w:numPr>
              <w:autoSpaceDE w:val="0"/>
              <w:ind w:left="790"/>
              <w:jc w:val="both"/>
              <w:rPr>
                <w:rFonts w:asciiTheme="minorHAnsi" w:hAnsiTheme="minorHAnsi" w:cstheme="minorHAnsi"/>
              </w:rPr>
            </w:pPr>
            <w:r w:rsidRPr="00E20DD5">
              <w:rPr>
                <w:rFonts w:asciiTheme="minorHAnsi" w:hAnsiTheme="minorHAnsi" w:cstheme="minorHAnsi"/>
              </w:rPr>
              <w:t>Hard copies of records shall be filed in folders labeled as follow:</w:t>
            </w:r>
          </w:p>
          <w:p w14:paraId="43A8D52D"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Department</w:t>
            </w:r>
          </w:p>
          <w:p w14:paraId="3F06EA80"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Location</w:t>
            </w:r>
          </w:p>
          <w:p w14:paraId="075F1176"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File Number</w:t>
            </w:r>
          </w:p>
          <w:p w14:paraId="652D90FD"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lastRenderedPageBreak/>
              <w:t>File Name</w:t>
            </w:r>
          </w:p>
          <w:p w14:paraId="202031CC"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Filing Sequence</w:t>
            </w:r>
          </w:p>
          <w:p w14:paraId="0E232A91"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File Type</w:t>
            </w:r>
          </w:p>
          <w:p w14:paraId="7624ACC7"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Responsible Person</w:t>
            </w:r>
          </w:p>
          <w:p w14:paraId="78053FA8" w14:textId="77777777" w:rsidR="00563ABB" w:rsidRPr="00E20DD5" w:rsidRDefault="00563ABB" w:rsidP="00E20DD5">
            <w:pPr>
              <w:pStyle w:val="ListParagraph"/>
              <w:numPr>
                <w:ilvl w:val="2"/>
                <w:numId w:val="9"/>
              </w:numPr>
              <w:autoSpaceDE w:val="0"/>
              <w:ind w:left="1600"/>
              <w:jc w:val="both"/>
              <w:rPr>
                <w:rFonts w:asciiTheme="minorHAnsi" w:hAnsiTheme="minorHAnsi" w:cstheme="minorHAnsi"/>
              </w:rPr>
            </w:pPr>
            <w:r w:rsidRPr="00E20DD5">
              <w:rPr>
                <w:rFonts w:asciiTheme="minorHAnsi" w:hAnsiTheme="minorHAnsi" w:cstheme="minorHAnsi"/>
              </w:rPr>
              <w:t xml:space="preserve">Retention Period  </w:t>
            </w:r>
          </w:p>
          <w:p w14:paraId="7C68097D" w14:textId="77777777" w:rsidR="00222C41" w:rsidRPr="00E20DD5" w:rsidRDefault="000C3CD7" w:rsidP="00E20DD5">
            <w:pPr>
              <w:pStyle w:val="ListParagraph"/>
              <w:numPr>
                <w:ilvl w:val="1"/>
                <w:numId w:val="9"/>
              </w:numPr>
              <w:autoSpaceDE w:val="0"/>
              <w:ind w:left="790"/>
              <w:jc w:val="both"/>
              <w:rPr>
                <w:rFonts w:asciiTheme="minorHAnsi" w:hAnsiTheme="minorHAnsi" w:cstheme="minorHAnsi"/>
              </w:rPr>
            </w:pPr>
            <w:r w:rsidRPr="00E20DD5">
              <w:rPr>
                <w:rFonts w:asciiTheme="minorHAnsi" w:hAnsiTheme="minorHAnsi" w:cstheme="minorHAnsi"/>
              </w:rPr>
              <w:t xml:space="preserve">All Files </w:t>
            </w:r>
            <w:r w:rsidR="003E00BA" w:rsidRPr="00E20DD5">
              <w:rPr>
                <w:rFonts w:asciiTheme="minorHAnsi" w:hAnsiTheme="minorHAnsi" w:cstheme="minorHAnsi"/>
              </w:rPr>
              <w:t xml:space="preserve">that are within the shelf retention period </w:t>
            </w:r>
            <w:r w:rsidRPr="00E20DD5">
              <w:rPr>
                <w:rFonts w:asciiTheme="minorHAnsi" w:hAnsiTheme="minorHAnsi" w:cstheme="minorHAnsi"/>
              </w:rPr>
              <w:t xml:space="preserve">to be stored in a designated file cabinet within the </w:t>
            </w:r>
            <w:r w:rsidR="003E00BA" w:rsidRPr="00E20DD5">
              <w:rPr>
                <w:rFonts w:asciiTheme="minorHAnsi" w:hAnsiTheme="minorHAnsi" w:cstheme="minorHAnsi"/>
              </w:rPr>
              <w:t>department</w:t>
            </w:r>
            <w:r w:rsidRPr="00E20DD5">
              <w:rPr>
                <w:rFonts w:asciiTheme="minorHAnsi" w:hAnsiTheme="minorHAnsi" w:cstheme="minorHAnsi"/>
              </w:rPr>
              <w:t xml:space="preserve"> or allocated secured cabinets. </w:t>
            </w:r>
          </w:p>
          <w:p w14:paraId="3E40EB2F" w14:textId="77777777" w:rsidR="00222C41" w:rsidRPr="00E20DD5" w:rsidRDefault="00222C41" w:rsidP="00E20DD5">
            <w:pPr>
              <w:pStyle w:val="ListParagraph"/>
              <w:numPr>
                <w:ilvl w:val="1"/>
                <w:numId w:val="14"/>
              </w:numPr>
              <w:autoSpaceDE w:val="0"/>
              <w:ind w:left="1600" w:right="-20" w:hanging="180"/>
              <w:jc w:val="both"/>
              <w:rPr>
                <w:rFonts w:asciiTheme="minorHAnsi" w:hAnsiTheme="minorHAnsi" w:cstheme="minorHAnsi"/>
              </w:rPr>
            </w:pPr>
            <w:r w:rsidRPr="00E20DD5">
              <w:rPr>
                <w:rFonts w:asciiTheme="minorHAnsi" w:hAnsiTheme="minorHAnsi" w:cstheme="minorHAnsi"/>
              </w:rPr>
              <w:t xml:space="preserve">Records will be stored for the defined </w:t>
            </w:r>
            <w:r w:rsidR="00EA049B" w:rsidRPr="00E20DD5">
              <w:rPr>
                <w:rFonts w:asciiTheme="minorHAnsi" w:hAnsiTheme="minorHAnsi" w:cstheme="minorHAnsi"/>
              </w:rPr>
              <w:t xml:space="preserve">shelf </w:t>
            </w:r>
            <w:r w:rsidRPr="00E20DD5">
              <w:rPr>
                <w:rFonts w:asciiTheme="minorHAnsi" w:hAnsiTheme="minorHAnsi" w:cstheme="minorHAnsi"/>
              </w:rPr>
              <w:t>retention period as shown at the File Register.</w:t>
            </w:r>
          </w:p>
          <w:p w14:paraId="5B8B3DC5" w14:textId="77777777" w:rsidR="000C3CD7" w:rsidRPr="00E20DD5" w:rsidRDefault="000C3CD7" w:rsidP="00E20DD5">
            <w:pPr>
              <w:pStyle w:val="ListParagraph"/>
              <w:numPr>
                <w:ilvl w:val="1"/>
                <w:numId w:val="14"/>
              </w:numPr>
              <w:autoSpaceDE w:val="0"/>
              <w:ind w:left="1600" w:right="-20" w:hanging="180"/>
              <w:jc w:val="both"/>
              <w:rPr>
                <w:rFonts w:asciiTheme="minorHAnsi" w:hAnsiTheme="minorHAnsi" w:cstheme="minorHAnsi"/>
              </w:rPr>
            </w:pPr>
            <w:r w:rsidRPr="00E20DD5">
              <w:rPr>
                <w:rFonts w:asciiTheme="minorHAnsi" w:hAnsiTheme="minorHAnsi" w:cstheme="minorHAnsi"/>
              </w:rPr>
              <w:t>Confidential records shall be kept in locked file cabinets and can be accessed only by duly authorized employees.</w:t>
            </w:r>
          </w:p>
          <w:p w14:paraId="07CD844A" w14:textId="77777777" w:rsidR="00222C41" w:rsidRPr="00E20DD5" w:rsidRDefault="003E00BA" w:rsidP="00E20DD5">
            <w:pPr>
              <w:pStyle w:val="ListParagraph"/>
              <w:numPr>
                <w:ilvl w:val="1"/>
                <w:numId w:val="9"/>
              </w:numPr>
              <w:autoSpaceDE w:val="0"/>
              <w:ind w:left="790"/>
              <w:jc w:val="both"/>
              <w:rPr>
                <w:rFonts w:asciiTheme="minorHAnsi" w:hAnsiTheme="minorHAnsi" w:cstheme="minorHAnsi"/>
              </w:rPr>
            </w:pPr>
            <w:r w:rsidRPr="00E20DD5">
              <w:rPr>
                <w:rFonts w:asciiTheme="minorHAnsi" w:hAnsiTheme="minorHAnsi" w:cstheme="minorHAnsi"/>
              </w:rPr>
              <w:t xml:space="preserve">All files that need to be stored beyond the shelf retention period to be archived, </w:t>
            </w:r>
            <w:r w:rsidR="00222C41" w:rsidRPr="00E20DD5">
              <w:rPr>
                <w:rFonts w:asciiTheme="minorHAnsi" w:hAnsiTheme="minorHAnsi" w:cstheme="minorHAnsi"/>
              </w:rPr>
              <w:t>consolidated,</w:t>
            </w:r>
            <w:r w:rsidRPr="00E20DD5">
              <w:rPr>
                <w:rFonts w:asciiTheme="minorHAnsi" w:hAnsiTheme="minorHAnsi" w:cstheme="minorHAnsi"/>
              </w:rPr>
              <w:t xml:space="preserve"> labeled and moved to </w:t>
            </w:r>
            <w:r w:rsidR="009F71BE" w:rsidRPr="00E20DD5">
              <w:rPr>
                <w:rFonts w:asciiTheme="minorHAnsi" w:hAnsiTheme="minorHAnsi" w:cstheme="minorHAnsi"/>
              </w:rPr>
              <w:t>a</w:t>
            </w:r>
            <w:r w:rsidRPr="00E20DD5">
              <w:rPr>
                <w:rFonts w:asciiTheme="minorHAnsi" w:hAnsiTheme="minorHAnsi" w:cstheme="minorHAnsi"/>
              </w:rPr>
              <w:t xml:space="preserve"> Secondary Location defined. Access to the site for retrieval only by duly authorized employee.</w:t>
            </w:r>
          </w:p>
          <w:p w14:paraId="7258B690" w14:textId="77777777" w:rsidR="00563ABB" w:rsidRPr="00E20DD5" w:rsidRDefault="00563ABB" w:rsidP="00E20DD5">
            <w:pPr>
              <w:pStyle w:val="ListParagraph"/>
              <w:numPr>
                <w:ilvl w:val="0"/>
                <w:numId w:val="9"/>
              </w:numPr>
              <w:autoSpaceDE w:val="0"/>
              <w:spacing w:before="120" w:after="120"/>
              <w:ind w:left="430"/>
              <w:jc w:val="both"/>
              <w:rPr>
                <w:rFonts w:asciiTheme="minorHAnsi" w:hAnsiTheme="minorHAnsi" w:cstheme="minorHAnsi"/>
              </w:rPr>
            </w:pPr>
            <w:r w:rsidRPr="00E20DD5">
              <w:rPr>
                <w:rFonts w:asciiTheme="minorHAnsi" w:hAnsiTheme="minorHAnsi" w:cstheme="minorHAnsi"/>
                <w:b/>
              </w:rPr>
              <w:t>Protection of Records</w:t>
            </w:r>
          </w:p>
          <w:p w14:paraId="5060AE8B" w14:textId="77777777" w:rsidR="00563ABB" w:rsidRPr="00E20DD5" w:rsidRDefault="00563ABB" w:rsidP="00E20DD5">
            <w:pPr>
              <w:pStyle w:val="ListParagraph"/>
              <w:numPr>
                <w:ilvl w:val="1"/>
                <w:numId w:val="9"/>
              </w:numPr>
              <w:ind w:left="790"/>
              <w:rPr>
                <w:rFonts w:asciiTheme="minorHAnsi" w:hAnsiTheme="minorHAnsi" w:cstheme="minorHAnsi"/>
              </w:rPr>
            </w:pPr>
            <w:r w:rsidRPr="00E20DD5">
              <w:rPr>
                <w:rFonts w:asciiTheme="minorHAnsi" w:hAnsiTheme="minorHAnsi" w:cstheme="minorHAnsi"/>
              </w:rPr>
              <w:t>Hard copies of records are stored in a manner that will protect them from deterioration, damage, or loss.</w:t>
            </w:r>
          </w:p>
          <w:p w14:paraId="4579FE0D" w14:textId="63F25CD1" w:rsidR="005F3744" w:rsidRPr="00E20DD5" w:rsidRDefault="00563ABB" w:rsidP="00E20DD5">
            <w:pPr>
              <w:pStyle w:val="ListParagraph"/>
              <w:numPr>
                <w:ilvl w:val="1"/>
                <w:numId w:val="9"/>
              </w:numPr>
              <w:ind w:left="790"/>
              <w:rPr>
                <w:rFonts w:asciiTheme="minorHAnsi" w:hAnsiTheme="minorHAnsi" w:cstheme="minorHAnsi"/>
              </w:rPr>
            </w:pPr>
            <w:r w:rsidRPr="00E20DD5">
              <w:rPr>
                <w:rFonts w:asciiTheme="minorHAnsi" w:hAnsiTheme="minorHAnsi" w:cstheme="minorHAnsi"/>
              </w:rPr>
              <w:t xml:space="preserve">Protection of electronic records shall be done as described in the IT Back-up Policy. </w:t>
            </w:r>
          </w:p>
        </w:tc>
      </w:tr>
      <w:tr w:rsidR="005F3744" w:rsidRPr="00EA049B" w14:paraId="1AE0419F" w14:textId="77777777" w:rsidTr="00E20DD5">
        <w:tc>
          <w:tcPr>
            <w:tcW w:w="1800" w:type="dxa"/>
          </w:tcPr>
          <w:p w14:paraId="40E53250" w14:textId="77777777" w:rsidR="005F3744" w:rsidRPr="00E20DD5" w:rsidRDefault="005F3744" w:rsidP="00E20DD5">
            <w:pPr>
              <w:spacing w:before="120" w:after="120"/>
              <w:rPr>
                <w:rFonts w:cstheme="minorHAnsi"/>
                <w:b/>
                <w:bCs/>
                <w:sz w:val="24"/>
                <w:szCs w:val="24"/>
              </w:rPr>
            </w:pPr>
            <w:r w:rsidRPr="00E20DD5">
              <w:rPr>
                <w:rFonts w:cstheme="minorHAnsi"/>
                <w:b/>
                <w:bCs/>
                <w:sz w:val="24"/>
                <w:szCs w:val="24"/>
              </w:rPr>
              <w:lastRenderedPageBreak/>
              <w:t>Disposition</w:t>
            </w:r>
          </w:p>
        </w:tc>
        <w:tc>
          <w:tcPr>
            <w:tcW w:w="8640" w:type="dxa"/>
          </w:tcPr>
          <w:p w14:paraId="33C7FDE8" w14:textId="77777777" w:rsidR="005F3744" w:rsidRPr="00E20DD5" w:rsidRDefault="005F3744" w:rsidP="00E20DD5">
            <w:pPr>
              <w:autoSpaceDE w:val="0"/>
              <w:spacing w:before="120" w:after="120"/>
              <w:ind w:left="70" w:right="70"/>
              <w:jc w:val="both"/>
              <w:rPr>
                <w:rFonts w:cstheme="minorHAnsi"/>
                <w:sz w:val="24"/>
                <w:szCs w:val="24"/>
              </w:rPr>
            </w:pPr>
            <w:r w:rsidRPr="00E20DD5">
              <w:rPr>
                <w:rFonts w:cstheme="minorHAnsi"/>
                <w:sz w:val="24"/>
                <w:szCs w:val="24"/>
              </w:rPr>
              <w:t xml:space="preserve">At the beginning of each year, the Department Head should review and clearly identify the procedure of control and retention of documents. Arrangements shall be made to remove them from the Company premises. </w:t>
            </w:r>
          </w:p>
          <w:p w14:paraId="1A6474C4" w14:textId="77777777" w:rsidR="00EA049B" w:rsidRPr="00E20DD5" w:rsidRDefault="00EA049B" w:rsidP="00E20DD5">
            <w:pPr>
              <w:autoSpaceDE w:val="0"/>
              <w:spacing w:before="120" w:after="120"/>
              <w:ind w:left="70" w:right="70"/>
              <w:jc w:val="both"/>
              <w:rPr>
                <w:rFonts w:cstheme="minorHAnsi"/>
                <w:sz w:val="24"/>
                <w:szCs w:val="24"/>
              </w:rPr>
            </w:pPr>
            <w:r w:rsidRPr="00E20DD5">
              <w:rPr>
                <w:rFonts w:cstheme="minorHAnsi"/>
                <w:sz w:val="24"/>
                <w:szCs w:val="24"/>
              </w:rPr>
              <w:t>All records</w:t>
            </w:r>
            <w:r w:rsidR="00A42CEC" w:rsidRPr="00E20DD5">
              <w:rPr>
                <w:rFonts w:cstheme="minorHAnsi"/>
                <w:sz w:val="24"/>
                <w:szCs w:val="24"/>
              </w:rPr>
              <w:t xml:space="preserve"> to be moved to an assigned location at the Operations department</w:t>
            </w:r>
            <w:r w:rsidRPr="00E20DD5">
              <w:rPr>
                <w:rFonts w:cstheme="minorHAnsi"/>
                <w:sz w:val="24"/>
                <w:szCs w:val="24"/>
              </w:rPr>
              <w:t xml:space="preserve"> for disposal</w:t>
            </w:r>
            <w:r w:rsidR="00A42CEC" w:rsidRPr="00E20DD5">
              <w:rPr>
                <w:rFonts w:cstheme="minorHAnsi"/>
                <w:sz w:val="24"/>
                <w:szCs w:val="24"/>
              </w:rPr>
              <w:t>;</w:t>
            </w:r>
            <w:r w:rsidRPr="00E20DD5">
              <w:rPr>
                <w:rFonts w:cstheme="minorHAnsi"/>
                <w:sz w:val="24"/>
                <w:szCs w:val="24"/>
              </w:rPr>
              <w:t xml:space="preserve"> shall be shredded </w:t>
            </w:r>
            <w:r w:rsidR="00A42CEC" w:rsidRPr="00E20DD5">
              <w:rPr>
                <w:rFonts w:cstheme="minorHAnsi"/>
                <w:sz w:val="24"/>
                <w:szCs w:val="24"/>
              </w:rPr>
              <w:t xml:space="preserve">under the supervision of the </w:t>
            </w:r>
            <w:proofErr w:type="gramStart"/>
            <w:r w:rsidR="00A42CEC" w:rsidRPr="00E20DD5">
              <w:rPr>
                <w:rFonts w:cstheme="minorHAnsi"/>
                <w:sz w:val="24"/>
                <w:szCs w:val="24"/>
              </w:rPr>
              <w:t>Admin</w:t>
            </w:r>
            <w:proofErr w:type="gramEnd"/>
            <w:r w:rsidR="00A42CEC" w:rsidRPr="00E20DD5">
              <w:rPr>
                <w:rFonts w:cstheme="minorHAnsi"/>
                <w:sz w:val="24"/>
                <w:szCs w:val="24"/>
              </w:rPr>
              <w:t xml:space="preserve"> in charge </w:t>
            </w:r>
            <w:r w:rsidRPr="00E20DD5">
              <w:rPr>
                <w:rFonts w:cstheme="minorHAnsi"/>
                <w:sz w:val="24"/>
                <w:szCs w:val="24"/>
              </w:rPr>
              <w:t>prior to discarding and or paper recycling.</w:t>
            </w:r>
          </w:p>
        </w:tc>
      </w:tr>
      <w:tr w:rsidR="009F71BE" w:rsidRPr="00EA049B" w14:paraId="7CA90655" w14:textId="77777777" w:rsidTr="00E20DD5">
        <w:tc>
          <w:tcPr>
            <w:tcW w:w="1800" w:type="dxa"/>
          </w:tcPr>
          <w:p w14:paraId="28423001" w14:textId="77777777" w:rsidR="009F71BE" w:rsidRPr="00E20DD5" w:rsidRDefault="009F71BE" w:rsidP="00E20DD5">
            <w:pPr>
              <w:spacing w:before="120" w:after="120"/>
              <w:rPr>
                <w:rFonts w:cstheme="minorHAnsi"/>
                <w:b/>
                <w:bCs/>
                <w:sz w:val="24"/>
                <w:szCs w:val="24"/>
              </w:rPr>
            </w:pPr>
            <w:r w:rsidRPr="00E20DD5">
              <w:rPr>
                <w:rFonts w:cstheme="minorHAnsi"/>
                <w:b/>
                <w:bCs/>
                <w:sz w:val="24"/>
                <w:szCs w:val="24"/>
              </w:rPr>
              <w:t>Related Guide Documents</w:t>
            </w:r>
          </w:p>
        </w:tc>
        <w:tc>
          <w:tcPr>
            <w:tcW w:w="8640" w:type="dxa"/>
          </w:tcPr>
          <w:p w14:paraId="0E385588" w14:textId="61644C0E" w:rsidR="009F71BE" w:rsidRPr="00E20DD5" w:rsidRDefault="009F71BE" w:rsidP="00EA049B">
            <w:pPr>
              <w:autoSpaceDE w:val="0"/>
              <w:spacing w:before="120" w:after="0"/>
              <w:jc w:val="both"/>
              <w:rPr>
                <w:rFonts w:cstheme="minorHAnsi"/>
                <w:sz w:val="24"/>
                <w:szCs w:val="24"/>
              </w:rPr>
            </w:pPr>
            <w:r w:rsidRPr="00E20DD5">
              <w:rPr>
                <w:rFonts w:cstheme="minorHAnsi"/>
                <w:sz w:val="24"/>
                <w:szCs w:val="24"/>
              </w:rPr>
              <w:t xml:space="preserve">Box File Template </w:t>
            </w:r>
          </w:p>
          <w:p w14:paraId="2235FA9B" w14:textId="5FC69C56" w:rsidR="009F71BE" w:rsidRPr="00E20DD5" w:rsidRDefault="009F71BE" w:rsidP="00EA049B">
            <w:pPr>
              <w:autoSpaceDE w:val="0"/>
              <w:spacing w:before="120" w:after="0"/>
              <w:jc w:val="both"/>
              <w:rPr>
                <w:rFonts w:cstheme="minorHAnsi"/>
                <w:sz w:val="24"/>
                <w:szCs w:val="24"/>
              </w:rPr>
            </w:pPr>
            <w:r w:rsidRPr="00E20DD5">
              <w:rPr>
                <w:rFonts w:cstheme="minorHAnsi"/>
                <w:sz w:val="24"/>
                <w:szCs w:val="24"/>
              </w:rPr>
              <w:t xml:space="preserve">Back up Policy </w:t>
            </w:r>
          </w:p>
          <w:p w14:paraId="0BDBC8A1" w14:textId="6168749E" w:rsidR="00202181" w:rsidRPr="00E20DD5" w:rsidRDefault="00202181" w:rsidP="00EA049B">
            <w:pPr>
              <w:autoSpaceDE w:val="0"/>
              <w:spacing w:before="120" w:after="0"/>
              <w:jc w:val="both"/>
              <w:rPr>
                <w:rFonts w:cstheme="minorHAnsi"/>
                <w:sz w:val="24"/>
                <w:szCs w:val="24"/>
              </w:rPr>
            </w:pPr>
            <w:r w:rsidRPr="00E20DD5">
              <w:rPr>
                <w:rFonts w:cstheme="minorHAnsi"/>
                <w:sz w:val="24"/>
                <w:szCs w:val="24"/>
              </w:rPr>
              <w:t xml:space="preserve">Archive Box Labels </w:t>
            </w:r>
          </w:p>
          <w:p w14:paraId="6386F04F" w14:textId="77777777" w:rsidR="009F71BE" w:rsidRDefault="00202181" w:rsidP="00E20DD5">
            <w:pPr>
              <w:autoSpaceDE w:val="0"/>
              <w:spacing w:before="120" w:after="0"/>
              <w:jc w:val="both"/>
              <w:rPr>
                <w:rFonts w:cstheme="minorHAnsi"/>
                <w:sz w:val="24"/>
                <w:szCs w:val="24"/>
              </w:rPr>
            </w:pPr>
            <w:r w:rsidRPr="00E20DD5">
              <w:rPr>
                <w:rFonts w:cstheme="minorHAnsi"/>
                <w:sz w:val="24"/>
                <w:szCs w:val="24"/>
              </w:rPr>
              <w:t xml:space="preserve">BAH File Register Format </w:t>
            </w:r>
          </w:p>
          <w:p w14:paraId="4324FA74" w14:textId="7F4EC862" w:rsidR="00E20DD5" w:rsidRPr="00E20DD5" w:rsidRDefault="00E20DD5" w:rsidP="00E20DD5">
            <w:pPr>
              <w:autoSpaceDE w:val="0"/>
              <w:spacing w:before="120" w:after="0"/>
              <w:jc w:val="both"/>
              <w:rPr>
                <w:rFonts w:cstheme="minorHAnsi"/>
                <w:sz w:val="24"/>
                <w:szCs w:val="24"/>
              </w:rPr>
            </w:pPr>
          </w:p>
        </w:tc>
      </w:tr>
    </w:tbl>
    <w:p w14:paraId="7B64F50B" w14:textId="77777777" w:rsidR="005F3744" w:rsidRPr="00EA049B" w:rsidRDefault="005F3744" w:rsidP="005F3744">
      <w:pPr>
        <w:spacing w:after="0"/>
        <w:rPr>
          <w:rFonts w:ascii="Calibri" w:hAnsi="Calibri" w:cs="Calibri"/>
        </w:rPr>
      </w:pPr>
    </w:p>
    <w:p w14:paraId="6B19A519" w14:textId="77777777" w:rsidR="00000000" w:rsidRPr="00EA049B" w:rsidRDefault="00000000" w:rsidP="005F3744">
      <w:pPr>
        <w:spacing w:after="0"/>
        <w:rPr>
          <w:rFonts w:ascii="Calibri" w:hAnsi="Calibri" w:cs="Calibri"/>
        </w:rPr>
      </w:pPr>
    </w:p>
    <w:sectPr w:rsidR="00CA4125" w:rsidRPr="00EA049B" w:rsidSect="00E20DD5">
      <w:headerReference w:type="default" r:id="rId7"/>
      <w:footerReference w:type="default" r:id="rId8"/>
      <w:pgSz w:w="12240" w:h="15840"/>
      <w:pgMar w:top="105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EF5C" w14:textId="77777777" w:rsidR="00343405" w:rsidRDefault="00343405" w:rsidP="00D00F39">
      <w:pPr>
        <w:spacing w:after="0" w:line="240" w:lineRule="auto"/>
      </w:pPr>
      <w:r>
        <w:separator/>
      </w:r>
    </w:p>
  </w:endnote>
  <w:endnote w:type="continuationSeparator" w:id="0">
    <w:p w14:paraId="40CC45E9" w14:textId="77777777" w:rsidR="00343405" w:rsidRDefault="00343405" w:rsidP="00D0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98381352"/>
      <w:docPartObj>
        <w:docPartGallery w:val="Page Numbers (Top of Page)"/>
        <w:docPartUnique/>
      </w:docPartObj>
    </w:sdtPr>
    <w:sdtContent>
      <w:p w14:paraId="485ED8D6" w14:textId="77777777" w:rsidR="00E20DD5" w:rsidRDefault="00976D4E" w:rsidP="00E20DD5">
        <w:pPr>
          <w:pStyle w:val="Footer"/>
          <w:jc w:val="center"/>
          <w:rPr>
            <w:rFonts w:asciiTheme="minorHAnsi" w:hAnsiTheme="minorHAnsi" w:cstheme="minorHAnsi"/>
            <w:b/>
            <w:sz w:val="22"/>
            <w:szCs w:val="22"/>
          </w:rPr>
        </w:pPr>
        <w:r w:rsidRPr="00E87EC0">
          <w:rPr>
            <w:rFonts w:asciiTheme="minorHAnsi" w:hAnsiTheme="minorHAnsi" w:cstheme="minorHAnsi"/>
            <w:sz w:val="22"/>
            <w:szCs w:val="22"/>
          </w:rPr>
          <w:t xml:space="preserve">Page </w:t>
        </w:r>
        <w:r w:rsidR="00794648" w:rsidRPr="00E87EC0">
          <w:rPr>
            <w:rFonts w:asciiTheme="minorHAnsi" w:hAnsiTheme="minorHAnsi" w:cstheme="minorHAnsi"/>
            <w:b/>
            <w:sz w:val="22"/>
            <w:szCs w:val="22"/>
          </w:rPr>
          <w:fldChar w:fldCharType="begin"/>
        </w:r>
        <w:r w:rsidRPr="00E87EC0">
          <w:rPr>
            <w:rFonts w:asciiTheme="minorHAnsi" w:hAnsiTheme="minorHAnsi" w:cstheme="minorHAnsi"/>
            <w:b/>
            <w:sz w:val="22"/>
            <w:szCs w:val="22"/>
          </w:rPr>
          <w:instrText xml:space="preserve"> PAGE </w:instrText>
        </w:r>
        <w:r w:rsidR="00794648" w:rsidRPr="00E87EC0">
          <w:rPr>
            <w:rFonts w:asciiTheme="minorHAnsi" w:hAnsiTheme="minorHAnsi" w:cstheme="minorHAnsi"/>
            <w:b/>
            <w:sz w:val="22"/>
            <w:szCs w:val="22"/>
          </w:rPr>
          <w:fldChar w:fldCharType="separate"/>
        </w:r>
        <w:r w:rsidR="00373D8A">
          <w:rPr>
            <w:rFonts w:asciiTheme="minorHAnsi" w:hAnsiTheme="minorHAnsi" w:cstheme="minorHAnsi"/>
            <w:b/>
            <w:noProof/>
            <w:sz w:val="22"/>
            <w:szCs w:val="22"/>
          </w:rPr>
          <w:t>2</w:t>
        </w:r>
        <w:r w:rsidR="00794648" w:rsidRPr="00E87EC0">
          <w:rPr>
            <w:rFonts w:asciiTheme="minorHAnsi" w:hAnsiTheme="minorHAnsi" w:cstheme="minorHAnsi"/>
            <w:b/>
            <w:sz w:val="22"/>
            <w:szCs w:val="22"/>
          </w:rPr>
          <w:fldChar w:fldCharType="end"/>
        </w:r>
        <w:r w:rsidRPr="00E87EC0">
          <w:rPr>
            <w:rFonts w:asciiTheme="minorHAnsi" w:hAnsiTheme="minorHAnsi" w:cstheme="minorHAnsi"/>
            <w:sz w:val="22"/>
            <w:szCs w:val="22"/>
          </w:rPr>
          <w:t xml:space="preserve"> of </w:t>
        </w:r>
        <w:r w:rsidR="00794648" w:rsidRPr="00E87EC0">
          <w:rPr>
            <w:rFonts w:asciiTheme="minorHAnsi" w:hAnsiTheme="minorHAnsi" w:cstheme="minorHAnsi"/>
            <w:b/>
            <w:sz w:val="22"/>
            <w:szCs w:val="22"/>
          </w:rPr>
          <w:fldChar w:fldCharType="begin"/>
        </w:r>
        <w:r w:rsidRPr="00E87EC0">
          <w:rPr>
            <w:rFonts w:asciiTheme="minorHAnsi" w:hAnsiTheme="minorHAnsi" w:cstheme="minorHAnsi"/>
            <w:b/>
            <w:sz w:val="22"/>
            <w:szCs w:val="22"/>
          </w:rPr>
          <w:instrText xml:space="preserve"> NUMPAGES  </w:instrText>
        </w:r>
        <w:r w:rsidR="00794648" w:rsidRPr="00E87EC0">
          <w:rPr>
            <w:rFonts w:asciiTheme="minorHAnsi" w:hAnsiTheme="minorHAnsi" w:cstheme="minorHAnsi"/>
            <w:b/>
            <w:sz w:val="22"/>
            <w:szCs w:val="22"/>
          </w:rPr>
          <w:fldChar w:fldCharType="separate"/>
        </w:r>
        <w:r w:rsidR="00373D8A">
          <w:rPr>
            <w:rFonts w:asciiTheme="minorHAnsi" w:hAnsiTheme="minorHAnsi" w:cstheme="minorHAnsi"/>
            <w:b/>
            <w:noProof/>
            <w:sz w:val="22"/>
            <w:szCs w:val="22"/>
          </w:rPr>
          <w:t>2</w:t>
        </w:r>
        <w:r w:rsidR="00794648" w:rsidRPr="00E87EC0">
          <w:rPr>
            <w:rFonts w:asciiTheme="minorHAnsi" w:hAnsiTheme="minorHAnsi" w:cstheme="minorHAnsi"/>
            <w:b/>
            <w:sz w:val="22"/>
            <w:szCs w:val="22"/>
          </w:rPr>
          <w:fldChar w:fldCharType="end"/>
        </w:r>
      </w:p>
      <w:p w14:paraId="2F2600FD" w14:textId="427E440A" w:rsidR="00000000" w:rsidRPr="00E87EC0" w:rsidRDefault="00E20DD5" w:rsidP="00E20DD5">
        <w:pPr>
          <w:pStyle w:val="Footer"/>
          <w:jc w:val="center"/>
          <w:rPr>
            <w:rFonts w:asciiTheme="minorHAnsi" w:hAnsiTheme="minorHAnsi" w:cstheme="minorHAnsi"/>
            <w:sz w:val="22"/>
            <w:szCs w:val="22"/>
          </w:rPr>
        </w:pPr>
        <w:r w:rsidRPr="00E87EC0">
          <w:rPr>
            <w:rFonts w:asciiTheme="minorHAnsi" w:hAnsiTheme="minorHAnsi" w:cstheme="minorHAnsi"/>
            <w:sz w:val="22"/>
            <w:szCs w:val="22"/>
          </w:rPr>
          <w:t>Uncontrolled copy if printed</w:t>
        </w:r>
      </w:p>
    </w:sdtContent>
  </w:sdt>
  <w:p w14:paraId="6000C399" w14:textId="7F4688A4" w:rsidR="00000000" w:rsidRPr="00E87EC0" w:rsidRDefault="00976D4E" w:rsidP="00E87EC0">
    <w:pPr>
      <w:pStyle w:val="Footer"/>
      <w:jc w:val="right"/>
      <w:rPr>
        <w:rFonts w:asciiTheme="minorHAnsi" w:hAnsiTheme="minorHAnsi" w:cstheme="minorHAnsi"/>
        <w:sz w:val="22"/>
        <w:szCs w:val="22"/>
      </w:rPr>
    </w:pPr>
    <w:r w:rsidRPr="00E87EC0">
      <w:rPr>
        <w:rFonts w:asciiTheme="minorHAnsi" w:hAnsiTheme="minorHAnsi" w:cstheme="minorHAnsi"/>
        <w:sz w:val="22"/>
        <w:szCs w:val="22"/>
      </w:rPr>
      <w:tab/>
    </w:r>
    <w:r w:rsidRPr="00E87EC0">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D532" w14:textId="77777777" w:rsidR="00343405" w:rsidRDefault="00343405" w:rsidP="00D00F39">
      <w:pPr>
        <w:spacing w:after="0" w:line="240" w:lineRule="auto"/>
      </w:pPr>
      <w:r>
        <w:separator/>
      </w:r>
    </w:p>
  </w:footnote>
  <w:footnote w:type="continuationSeparator" w:id="0">
    <w:p w14:paraId="378CACB5" w14:textId="77777777" w:rsidR="00343405" w:rsidRDefault="00343405" w:rsidP="00D0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83D61" w14:paraId="677CC0C5" w14:textId="77777777" w:rsidTr="00626A91">
      <w:tc>
        <w:tcPr>
          <w:tcW w:w="4230" w:type="dxa"/>
          <w:hideMark/>
        </w:tcPr>
        <w:p w14:paraId="51C13DDB" w14:textId="77777777" w:rsidR="00000000" w:rsidRPr="00651737" w:rsidRDefault="00F27681" w:rsidP="00651737">
          <w:pPr>
            <w:pStyle w:val="Header"/>
            <w:rPr>
              <w:rFonts w:ascii="Calibri" w:hAnsi="Calibri" w:cs="Calibri"/>
              <w:b/>
              <w:bCs/>
            </w:rPr>
          </w:pPr>
          <w:r>
            <w:rPr>
              <w:rFonts w:ascii="Calibri" w:hAnsi="Calibri" w:cs="Calibri"/>
              <w:b/>
              <w:bCs/>
              <w:noProof/>
            </w:rPr>
            <w:drawing>
              <wp:inline distT="0" distB="0" distL="0" distR="0" wp14:anchorId="1FC66DF2" wp14:editId="1A74AFB6">
                <wp:extent cx="1234065" cy="29329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 Colored Eng.png"/>
                        <pic:cNvPicPr/>
                      </pic:nvPicPr>
                      <pic:blipFill>
                        <a:blip r:embed="rId1">
                          <a:extLst>
                            <a:ext uri="{28A0092B-C50C-407E-A947-70E740481C1C}">
                              <a14:useLocalDpi xmlns:a14="http://schemas.microsoft.com/office/drawing/2010/main" val="0"/>
                            </a:ext>
                          </a:extLst>
                        </a:blip>
                        <a:stretch>
                          <a:fillRect/>
                        </a:stretch>
                      </pic:blipFill>
                      <pic:spPr>
                        <a:xfrm>
                          <a:off x="0" y="0"/>
                          <a:ext cx="1234065" cy="293298"/>
                        </a:xfrm>
                        <a:prstGeom prst="rect">
                          <a:avLst/>
                        </a:prstGeom>
                      </pic:spPr>
                    </pic:pic>
                  </a:graphicData>
                </a:graphic>
              </wp:inline>
            </w:drawing>
          </w:r>
        </w:p>
      </w:tc>
      <w:tc>
        <w:tcPr>
          <w:tcW w:w="6390" w:type="dxa"/>
          <w:hideMark/>
        </w:tcPr>
        <w:p w14:paraId="7D6ED751" w14:textId="77777777" w:rsidR="00000000" w:rsidRPr="00111D3E" w:rsidRDefault="00976D4E" w:rsidP="00E20DD5">
          <w:pPr>
            <w:pStyle w:val="Header"/>
            <w:ind w:right="70"/>
            <w:jc w:val="right"/>
            <w:rPr>
              <w:rFonts w:ascii="Calibri" w:hAnsi="Calibri"/>
              <w:b/>
              <w:noProof/>
              <w:sz w:val="32"/>
            </w:rPr>
          </w:pPr>
          <w:r>
            <w:rPr>
              <w:rFonts w:ascii="Calibri" w:hAnsi="Calibri"/>
              <w:b/>
              <w:noProof/>
              <w:sz w:val="32"/>
            </w:rPr>
            <w:t xml:space="preserve">        Document Control &amp; Retention Policy</w:t>
          </w:r>
        </w:p>
        <w:p w14:paraId="204739AF" w14:textId="77777777" w:rsidR="00000000" w:rsidRDefault="00976D4E" w:rsidP="00E20DD5">
          <w:pPr>
            <w:pStyle w:val="Header"/>
            <w:ind w:right="70"/>
            <w:jc w:val="right"/>
            <w:rPr>
              <w:b/>
              <w:noProof/>
              <w:sz w:val="28"/>
              <w:szCs w:val="28"/>
            </w:rPr>
          </w:pPr>
          <w:r>
            <w:rPr>
              <w:rFonts w:ascii="Calibri" w:hAnsi="Calibri"/>
              <w:noProof/>
            </w:rPr>
            <w:t xml:space="preserve">Owner/ Department: </w:t>
          </w:r>
          <w:r w:rsidR="00D00F39">
            <w:rPr>
              <w:rFonts w:ascii="Calibri" w:hAnsi="Calibri"/>
              <w:noProof/>
            </w:rPr>
            <w:t>IBU</w:t>
          </w:r>
          <w:r w:rsidR="00373D8A">
            <w:rPr>
              <w:rFonts w:ascii="Calibri" w:hAnsi="Calibri"/>
              <w:noProof/>
            </w:rPr>
            <w:t>-</w:t>
          </w:r>
          <w:r w:rsidR="00D00F39">
            <w:rPr>
              <w:rFonts w:ascii="Calibri" w:hAnsi="Calibri"/>
              <w:noProof/>
            </w:rPr>
            <w:t>BAH</w:t>
          </w:r>
          <w:r w:rsidR="00373D8A">
            <w:rPr>
              <w:rFonts w:ascii="Calibri" w:hAnsi="Calibri"/>
              <w:noProof/>
            </w:rPr>
            <w:t>,</w:t>
          </w:r>
          <w:r w:rsidR="00D00F39">
            <w:rPr>
              <w:rFonts w:ascii="Calibri" w:hAnsi="Calibri"/>
              <w:noProof/>
            </w:rPr>
            <w:t>Manag</w:t>
          </w:r>
          <w:r w:rsidR="00373D8A">
            <w:rPr>
              <w:rFonts w:ascii="Calibri" w:hAnsi="Calibri"/>
              <w:noProof/>
            </w:rPr>
            <w:t>e</w:t>
          </w:r>
          <w:r w:rsidR="00D00F39">
            <w:rPr>
              <w:rFonts w:ascii="Calibri" w:hAnsi="Calibri"/>
              <w:noProof/>
            </w:rPr>
            <w:t>ment</w:t>
          </w:r>
        </w:p>
      </w:tc>
    </w:tr>
  </w:tbl>
  <w:p w14:paraId="37FC295F" w14:textId="77777777" w:rsidR="00000000" w:rsidRPr="00226D47" w:rsidRDefault="00000000" w:rsidP="0022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1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560B1"/>
    <w:multiLevelType w:val="hybridMultilevel"/>
    <w:tmpl w:val="7BFCE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D46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312A8D"/>
    <w:multiLevelType w:val="hybridMultilevel"/>
    <w:tmpl w:val="80F47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668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D8247D"/>
    <w:multiLevelType w:val="hybridMultilevel"/>
    <w:tmpl w:val="3022D9F8"/>
    <w:lvl w:ilvl="0" w:tplc="9BEC352E">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8F4020"/>
    <w:multiLevelType w:val="hybridMultilevel"/>
    <w:tmpl w:val="AF4A46D4"/>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15:restartNumberingAfterBreak="0">
    <w:nsid w:val="532C085B"/>
    <w:multiLevelType w:val="hybridMultilevel"/>
    <w:tmpl w:val="60BC6730"/>
    <w:lvl w:ilvl="0" w:tplc="9BEC352E">
      <w:start w:val="1"/>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8" w15:restartNumberingAfterBreak="0">
    <w:nsid w:val="59DD31A3"/>
    <w:multiLevelType w:val="multilevel"/>
    <w:tmpl w:val="08F85524"/>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2023EC"/>
    <w:multiLevelType w:val="hybridMultilevel"/>
    <w:tmpl w:val="991E9D2A"/>
    <w:lvl w:ilvl="0" w:tplc="EC82D1CE">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CD1373"/>
    <w:multiLevelType w:val="hybridMultilevel"/>
    <w:tmpl w:val="A102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D431E"/>
    <w:multiLevelType w:val="multilevel"/>
    <w:tmpl w:val="2690D52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822FE8"/>
    <w:multiLevelType w:val="hybridMultilevel"/>
    <w:tmpl w:val="3140D49C"/>
    <w:lvl w:ilvl="0" w:tplc="6AA22162">
      <w:start w:val="3"/>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3" w15:restartNumberingAfterBreak="0">
    <w:nsid w:val="73704E2A"/>
    <w:multiLevelType w:val="hybridMultilevel"/>
    <w:tmpl w:val="AE489E28"/>
    <w:lvl w:ilvl="0" w:tplc="04090013">
      <w:start w:val="1"/>
      <w:numFmt w:val="upperRoman"/>
      <w:lvlText w:val="%1."/>
      <w:lvlJc w:val="righ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312515759">
    <w:abstractNumId w:val="7"/>
  </w:num>
  <w:num w:numId="2" w16cid:durableId="1732846917">
    <w:abstractNumId w:val="12"/>
  </w:num>
  <w:num w:numId="3" w16cid:durableId="1605846274">
    <w:abstractNumId w:val="1"/>
  </w:num>
  <w:num w:numId="4" w16cid:durableId="803237707">
    <w:abstractNumId w:val="10"/>
  </w:num>
  <w:num w:numId="5" w16cid:durableId="1986277448">
    <w:abstractNumId w:val="13"/>
  </w:num>
  <w:num w:numId="6" w16cid:durableId="275144227">
    <w:abstractNumId w:val="6"/>
  </w:num>
  <w:num w:numId="7" w16cid:durableId="527524332">
    <w:abstractNumId w:val="3"/>
  </w:num>
  <w:num w:numId="8" w16cid:durableId="1860316972">
    <w:abstractNumId w:val="0"/>
  </w:num>
  <w:num w:numId="9" w16cid:durableId="956520299">
    <w:abstractNumId w:val="9"/>
  </w:num>
  <w:num w:numId="10" w16cid:durableId="747115559">
    <w:abstractNumId w:val="2"/>
  </w:num>
  <w:num w:numId="11" w16cid:durableId="2108888863">
    <w:abstractNumId w:val="5"/>
  </w:num>
  <w:num w:numId="12" w16cid:durableId="1820802670">
    <w:abstractNumId w:val="4"/>
  </w:num>
  <w:num w:numId="13" w16cid:durableId="45497466">
    <w:abstractNumId w:val="8"/>
  </w:num>
  <w:num w:numId="14" w16cid:durableId="1735546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44"/>
    <w:rsid w:val="000913F5"/>
    <w:rsid w:val="000C3CD7"/>
    <w:rsid w:val="001862AF"/>
    <w:rsid w:val="001C6504"/>
    <w:rsid w:val="00202181"/>
    <w:rsid w:val="00222C41"/>
    <w:rsid w:val="00284923"/>
    <w:rsid w:val="00343405"/>
    <w:rsid w:val="00373D8A"/>
    <w:rsid w:val="003E00BA"/>
    <w:rsid w:val="003E1AC5"/>
    <w:rsid w:val="00462F8A"/>
    <w:rsid w:val="004A2220"/>
    <w:rsid w:val="004B09B0"/>
    <w:rsid w:val="005511AF"/>
    <w:rsid w:val="00563ABB"/>
    <w:rsid w:val="00572ED3"/>
    <w:rsid w:val="005D14D5"/>
    <w:rsid w:val="005F3744"/>
    <w:rsid w:val="00612565"/>
    <w:rsid w:val="00794648"/>
    <w:rsid w:val="00884DCC"/>
    <w:rsid w:val="00960B09"/>
    <w:rsid w:val="00976D4E"/>
    <w:rsid w:val="009855B6"/>
    <w:rsid w:val="009F71BE"/>
    <w:rsid w:val="00A42CEC"/>
    <w:rsid w:val="00A53D97"/>
    <w:rsid w:val="00A80018"/>
    <w:rsid w:val="00B128F8"/>
    <w:rsid w:val="00C203C5"/>
    <w:rsid w:val="00D00F39"/>
    <w:rsid w:val="00D4609C"/>
    <w:rsid w:val="00E20DD5"/>
    <w:rsid w:val="00EA0329"/>
    <w:rsid w:val="00EA049B"/>
    <w:rsid w:val="00EF087A"/>
    <w:rsid w:val="00F27681"/>
    <w:rsid w:val="00F54293"/>
    <w:rsid w:val="00FC4C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A5AF"/>
  <w15:docId w15:val="{D9C2E223-4F7D-4A77-B425-F14D8BF6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374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3744"/>
    <w:rPr>
      <w:rFonts w:ascii="Times New Roman" w:eastAsia="Times New Roman" w:hAnsi="Times New Roman" w:cs="Times New Roman"/>
      <w:sz w:val="24"/>
      <w:szCs w:val="24"/>
    </w:rPr>
  </w:style>
  <w:style w:type="paragraph" w:styleId="Footer">
    <w:name w:val="footer"/>
    <w:basedOn w:val="Normal"/>
    <w:link w:val="FooterChar"/>
    <w:uiPriority w:val="99"/>
    <w:rsid w:val="005F374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F3744"/>
    <w:rPr>
      <w:rFonts w:ascii="Times New Roman" w:eastAsia="Times New Roman" w:hAnsi="Times New Roman" w:cs="Times New Roman"/>
      <w:sz w:val="24"/>
      <w:szCs w:val="24"/>
    </w:rPr>
  </w:style>
  <w:style w:type="character" w:styleId="Strong">
    <w:name w:val="Strong"/>
    <w:basedOn w:val="DefaultParagraphFont"/>
    <w:qFormat/>
    <w:rsid w:val="005F3744"/>
    <w:rPr>
      <w:b/>
      <w:bCs/>
    </w:rPr>
  </w:style>
  <w:style w:type="paragraph" w:styleId="ListParagraph">
    <w:name w:val="List Paragraph"/>
    <w:basedOn w:val="Normal"/>
    <w:uiPriority w:val="34"/>
    <w:qFormat/>
    <w:rsid w:val="005F374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C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Edwin Ramos</cp:lastModifiedBy>
  <cp:revision>2</cp:revision>
  <cp:lastPrinted>2021-09-09T10:08:00Z</cp:lastPrinted>
  <dcterms:created xsi:type="dcterms:W3CDTF">2025-09-18T09:14:00Z</dcterms:created>
  <dcterms:modified xsi:type="dcterms:W3CDTF">2025-09-18T09:14:00Z</dcterms:modified>
</cp:coreProperties>
</file>