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2140" w14:textId="299A114D" w:rsidR="004B03CC" w:rsidRPr="00B333B7" w:rsidRDefault="004B03CC" w:rsidP="00813F05">
      <w:pPr>
        <w:pStyle w:val="Header"/>
        <w:jc w:val="right"/>
        <w:rPr>
          <w:rFonts w:asciiTheme="minorHAnsi" w:hAnsiTheme="minorHAnsi" w:cstheme="minorHAnsi"/>
          <w:noProof/>
        </w:rPr>
      </w:pPr>
    </w:p>
    <w:p w14:paraId="7EAA3494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1. Introduction</w:t>
      </w:r>
    </w:p>
    <w:p w14:paraId="62B00F92" w14:textId="77777777" w:rsidR="00021531" w:rsidRPr="00B333B7" w:rsidRDefault="00021531" w:rsidP="00B333B7">
      <w:pPr>
        <w:ind w:right="-54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This document outlines the responsibilities, safety measures, security protocols, and emergency preparedness and response procedures for the use, maintenance, and disposal of X-ray machines at SMSA’s Bahrain warehouse. The X-ray machines are operated solely by Bahrain Customs, and SMSA staff do not directly operate or interact with the machines during routine activities.</w:t>
      </w:r>
    </w:p>
    <w:p w14:paraId="17522CFB" w14:textId="77777777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This plan has been developed in accordance with:</w:t>
      </w:r>
    </w:p>
    <w:p w14:paraId="469463F6" w14:textId="4FC4643D" w:rsidR="00021531" w:rsidRPr="00B333B7" w:rsidRDefault="00021531" w:rsidP="009D556F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Supreme Council for Environment (SCE) regulations (Bahrain)</w:t>
      </w:r>
    </w:p>
    <w:p w14:paraId="45CBB8D9" w14:textId="77777777" w:rsidR="00021531" w:rsidRPr="00B333B7" w:rsidRDefault="00021531" w:rsidP="009D556F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International Atomic Energy Agency (IAEA) guidelines</w:t>
      </w:r>
    </w:p>
    <w:p w14:paraId="337F2690" w14:textId="77777777" w:rsidR="00021531" w:rsidRPr="00B333B7" w:rsidRDefault="00021531" w:rsidP="009D556F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International Commission on Radiological Protection (ICRP) standards</w:t>
      </w:r>
    </w:p>
    <w:p w14:paraId="2FF731F6" w14:textId="77777777" w:rsidR="00021531" w:rsidRPr="00B333B7" w:rsidRDefault="00021531" w:rsidP="009D556F">
      <w:pPr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ISO 17025 (where applicable)</w:t>
      </w:r>
    </w:p>
    <w:p w14:paraId="3944876E" w14:textId="0A4B35C6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150C515E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2. Responsibilities and Stakeholders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359"/>
        <w:gridCol w:w="7176"/>
      </w:tblGrid>
      <w:tr w:rsidR="00021531" w:rsidRPr="00B333B7" w14:paraId="2899BDD6" w14:textId="77777777" w:rsidTr="00B333B7">
        <w:trPr>
          <w:trHeight w:val="323"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149A44CA" w14:textId="77777777" w:rsidR="00021531" w:rsidRPr="00B333B7" w:rsidRDefault="00021531" w:rsidP="00B333B7">
            <w:pPr>
              <w:spacing w:before="120" w:after="12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333B7">
              <w:rPr>
                <w:rFonts w:cstheme="minorHAnsi"/>
                <w:b/>
                <w:bCs/>
                <w:sz w:val="24"/>
                <w:szCs w:val="24"/>
              </w:rPr>
              <w:t>Party</w:t>
            </w:r>
          </w:p>
        </w:tc>
        <w:tc>
          <w:tcPr>
            <w:tcW w:w="7176" w:type="dxa"/>
            <w:shd w:val="clear" w:color="auto" w:fill="D9D9D9" w:themeFill="background1" w:themeFillShade="D9"/>
            <w:hideMark/>
          </w:tcPr>
          <w:p w14:paraId="7D4DB15A" w14:textId="77777777" w:rsidR="00021531" w:rsidRPr="00B333B7" w:rsidRDefault="00021531" w:rsidP="00B333B7">
            <w:pPr>
              <w:spacing w:before="120" w:after="12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333B7">
              <w:rPr>
                <w:rFonts w:cstheme="minorHAnsi"/>
                <w:b/>
                <w:bCs/>
                <w:sz w:val="24"/>
                <w:szCs w:val="24"/>
              </w:rPr>
              <w:t>Responsibilities</w:t>
            </w:r>
          </w:p>
        </w:tc>
      </w:tr>
      <w:tr w:rsidR="00021531" w:rsidRPr="00B333B7" w14:paraId="410A403B" w14:textId="77777777" w:rsidTr="00B333B7">
        <w:trPr>
          <w:jc w:val="center"/>
        </w:trPr>
        <w:tc>
          <w:tcPr>
            <w:tcW w:w="0" w:type="auto"/>
            <w:hideMark/>
          </w:tcPr>
          <w:p w14:paraId="2D148333" w14:textId="77777777" w:rsidR="00021531" w:rsidRPr="00B333B7" w:rsidRDefault="00021531" w:rsidP="00021531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Bahrain Customs</w:t>
            </w:r>
          </w:p>
        </w:tc>
        <w:tc>
          <w:tcPr>
            <w:tcW w:w="7176" w:type="dxa"/>
            <w:hideMark/>
          </w:tcPr>
          <w:p w14:paraId="06FA07CF" w14:textId="77777777" w:rsidR="00021531" w:rsidRPr="00B333B7" w:rsidRDefault="00021531" w:rsidP="009D556F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Operation and control of the X-ray machines</w:t>
            </w:r>
          </w:p>
        </w:tc>
      </w:tr>
      <w:tr w:rsidR="00021531" w:rsidRPr="00B333B7" w14:paraId="6C204CA6" w14:textId="77777777" w:rsidTr="00B333B7">
        <w:trPr>
          <w:jc w:val="center"/>
        </w:trPr>
        <w:tc>
          <w:tcPr>
            <w:tcW w:w="0" w:type="auto"/>
            <w:hideMark/>
          </w:tcPr>
          <w:p w14:paraId="414EDB78" w14:textId="77777777" w:rsidR="00021531" w:rsidRPr="00B333B7" w:rsidRDefault="00021531" w:rsidP="00021531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SMSA</w:t>
            </w:r>
          </w:p>
        </w:tc>
        <w:tc>
          <w:tcPr>
            <w:tcW w:w="7176" w:type="dxa"/>
            <w:hideMark/>
          </w:tcPr>
          <w:p w14:paraId="094661BD" w14:textId="77777777" w:rsidR="00021531" w:rsidRPr="00B333B7" w:rsidRDefault="00021531" w:rsidP="009D556F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Ensuring coordination, safety compliance, emergency response support</w:t>
            </w:r>
          </w:p>
        </w:tc>
      </w:tr>
      <w:tr w:rsidR="00021531" w:rsidRPr="00B333B7" w14:paraId="43F98CE8" w14:textId="77777777" w:rsidTr="00B333B7">
        <w:trPr>
          <w:jc w:val="center"/>
        </w:trPr>
        <w:tc>
          <w:tcPr>
            <w:tcW w:w="0" w:type="auto"/>
            <w:hideMark/>
          </w:tcPr>
          <w:p w14:paraId="2E2976F7" w14:textId="2466EA03" w:rsidR="00021531" w:rsidRPr="00B333B7" w:rsidRDefault="00021531" w:rsidP="007971B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X-ray</w:t>
            </w:r>
            <w:r w:rsidR="007971BD" w:rsidRPr="00B333B7">
              <w:rPr>
                <w:rFonts w:cstheme="minorHAnsi"/>
                <w:sz w:val="24"/>
                <w:szCs w:val="24"/>
              </w:rPr>
              <w:t xml:space="preserve"> </w:t>
            </w:r>
            <w:r w:rsidRPr="00B333B7">
              <w:rPr>
                <w:rFonts w:cstheme="minorHAnsi"/>
                <w:sz w:val="24"/>
                <w:szCs w:val="24"/>
              </w:rPr>
              <w:t>Machine Vendor</w:t>
            </w:r>
          </w:p>
        </w:tc>
        <w:tc>
          <w:tcPr>
            <w:tcW w:w="7176" w:type="dxa"/>
            <w:hideMark/>
          </w:tcPr>
          <w:p w14:paraId="07C5A28C" w14:textId="77777777" w:rsidR="00021531" w:rsidRPr="00B333B7" w:rsidRDefault="00021531" w:rsidP="009D556F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Annual maintenance, training, technical support</w:t>
            </w:r>
          </w:p>
        </w:tc>
      </w:tr>
      <w:tr w:rsidR="00021531" w:rsidRPr="00B333B7" w14:paraId="4CA131A6" w14:textId="77777777" w:rsidTr="00B333B7">
        <w:trPr>
          <w:jc w:val="center"/>
        </w:trPr>
        <w:tc>
          <w:tcPr>
            <w:tcW w:w="0" w:type="auto"/>
            <w:hideMark/>
          </w:tcPr>
          <w:p w14:paraId="579F7506" w14:textId="22AA1F11" w:rsidR="00021531" w:rsidRPr="00B333B7" w:rsidRDefault="00021531" w:rsidP="00021531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Approved Contractor (Disposal)</w:t>
            </w:r>
          </w:p>
        </w:tc>
        <w:tc>
          <w:tcPr>
            <w:tcW w:w="7176" w:type="dxa"/>
            <w:hideMark/>
          </w:tcPr>
          <w:p w14:paraId="1B5951BB" w14:textId="027AAD98" w:rsidR="00021531" w:rsidRPr="00B333B7" w:rsidRDefault="00021531" w:rsidP="009D556F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Safe dismantling, transport, and disposal of machines in accordance with Supreme Council for Environment regulations</w:t>
            </w:r>
          </w:p>
        </w:tc>
      </w:tr>
    </w:tbl>
    <w:p w14:paraId="5EFA886A" w14:textId="2DEF77F2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4C5045EA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3. Radiation Safety Measures</w:t>
      </w:r>
    </w:p>
    <w:p w14:paraId="3E970211" w14:textId="56D93E2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3.1 Safety of Personnel</w:t>
      </w:r>
    </w:p>
    <w:p w14:paraId="42371AC5" w14:textId="77777777" w:rsidR="00021531" w:rsidRPr="00B333B7" w:rsidRDefault="00021531" w:rsidP="009D556F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SMSA personnel are not involved in operating the X-ray machines.</w:t>
      </w:r>
    </w:p>
    <w:p w14:paraId="570AD42D" w14:textId="77777777" w:rsidR="00021531" w:rsidRPr="00B333B7" w:rsidRDefault="00021531" w:rsidP="009D556F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Access to operational areas is restricted to trained Bahrain Customs personnel.</w:t>
      </w:r>
    </w:p>
    <w:p w14:paraId="41FC68EA" w14:textId="791AEA25" w:rsidR="009D556F" w:rsidRPr="00B333B7" w:rsidRDefault="007971BD" w:rsidP="004B03CC">
      <w:pPr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X Ray machines have </w:t>
      </w:r>
      <w:r w:rsidR="00021531" w:rsidRPr="00B333B7">
        <w:rPr>
          <w:rFonts w:cstheme="minorHAnsi"/>
          <w:sz w:val="24"/>
          <w:szCs w:val="24"/>
        </w:rPr>
        <w:t xml:space="preserve">Radiation shielding, interlocks and system redundancies </w:t>
      </w:r>
      <w:r w:rsidRPr="00B333B7">
        <w:rPr>
          <w:rFonts w:cstheme="minorHAnsi"/>
          <w:sz w:val="24"/>
          <w:szCs w:val="24"/>
        </w:rPr>
        <w:t xml:space="preserve">to </w:t>
      </w:r>
      <w:r w:rsidR="00021531" w:rsidRPr="00B333B7">
        <w:rPr>
          <w:rFonts w:cstheme="minorHAnsi"/>
          <w:sz w:val="24"/>
          <w:szCs w:val="24"/>
        </w:rPr>
        <w:t>ensure safety</w:t>
      </w:r>
      <w:r w:rsidR="004B03CC" w:rsidRPr="00B333B7">
        <w:rPr>
          <w:rFonts w:cstheme="minorHAnsi"/>
          <w:sz w:val="24"/>
          <w:szCs w:val="24"/>
        </w:rPr>
        <w:t>.</w:t>
      </w:r>
    </w:p>
    <w:p w14:paraId="78FBB223" w14:textId="77777777" w:rsidR="009D556F" w:rsidRPr="00B333B7" w:rsidRDefault="009D556F" w:rsidP="009D556F">
      <w:pPr>
        <w:spacing w:after="0"/>
        <w:jc w:val="both"/>
        <w:rPr>
          <w:rFonts w:cstheme="minorHAnsi"/>
          <w:sz w:val="24"/>
          <w:szCs w:val="24"/>
        </w:rPr>
      </w:pPr>
    </w:p>
    <w:p w14:paraId="5EB20D7C" w14:textId="673243B2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3.2 Radiation Monitoring</w:t>
      </w:r>
    </w:p>
    <w:p w14:paraId="6FBC2A22" w14:textId="77777777" w:rsidR="00021531" w:rsidRPr="00B333B7" w:rsidRDefault="00021531" w:rsidP="009D556F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Modern X-ray machines are built with safety features that minimize the need for frequent leakage tests.</w:t>
      </w:r>
    </w:p>
    <w:p w14:paraId="20A93D42" w14:textId="38174180" w:rsidR="00021531" w:rsidRPr="00B333B7" w:rsidRDefault="00021531" w:rsidP="009D556F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lastRenderedPageBreak/>
        <w:t xml:space="preserve">However, per </w:t>
      </w:r>
      <w:r w:rsidR="007971BD" w:rsidRPr="00B333B7">
        <w:rPr>
          <w:rFonts w:cstheme="minorHAnsi"/>
          <w:sz w:val="24"/>
          <w:szCs w:val="24"/>
        </w:rPr>
        <w:t>International Atomic Energy Agency (</w:t>
      </w:r>
      <w:r w:rsidRPr="00B333B7">
        <w:rPr>
          <w:rFonts w:cstheme="minorHAnsi"/>
          <w:sz w:val="24"/>
          <w:szCs w:val="24"/>
        </w:rPr>
        <w:t>IAEA</w:t>
      </w:r>
      <w:r w:rsidR="007971BD" w:rsidRPr="00B333B7">
        <w:rPr>
          <w:rFonts w:cstheme="minorHAnsi"/>
          <w:sz w:val="24"/>
          <w:szCs w:val="24"/>
        </w:rPr>
        <w:t>),</w:t>
      </w:r>
      <w:r w:rsidRPr="00B333B7">
        <w:rPr>
          <w:rFonts w:cstheme="minorHAnsi"/>
          <w:sz w:val="24"/>
          <w:szCs w:val="24"/>
        </w:rPr>
        <w:t xml:space="preserve"> GS-G-3.3 and </w:t>
      </w:r>
      <w:r w:rsidR="00BB633A" w:rsidRPr="00B333B7">
        <w:rPr>
          <w:rFonts w:cstheme="minorHAnsi"/>
          <w:sz w:val="24"/>
          <w:szCs w:val="24"/>
        </w:rPr>
        <w:t xml:space="preserve">Supreme Council for Environment </w:t>
      </w:r>
      <w:r w:rsidRPr="00B333B7">
        <w:rPr>
          <w:rFonts w:cstheme="minorHAnsi"/>
          <w:sz w:val="24"/>
          <w:szCs w:val="24"/>
        </w:rPr>
        <w:t>requirements, radiation safety surveys must be performed:</w:t>
      </w:r>
    </w:p>
    <w:p w14:paraId="179FDDD4" w14:textId="21B6DB8F" w:rsidR="00021531" w:rsidRPr="00B333B7" w:rsidRDefault="00021531" w:rsidP="009D556F">
      <w:pPr>
        <w:numPr>
          <w:ilvl w:val="1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After installation or relocation</w:t>
      </w:r>
      <w:r w:rsidR="007971BD" w:rsidRPr="00B333B7">
        <w:rPr>
          <w:rFonts w:cstheme="minorHAnsi"/>
          <w:sz w:val="24"/>
          <w:szCs w:val="24"/>
        </w:rPr>
        <w:t>.</w:t>
      </w:r>
    </w:p>
    <w:p w14:paraId="6B0DC11D" w14:textId="6C5F5E70" w:rsidR="00021531" w:rsidRPr="00B333B7" w:rsidRDefault="00021531" w:rsidP="009D556F">
      <w:pPr>
        <w:numPr>
          <w:ilvl w:val="1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After any major maintenance involving shielding or X-ray source</w:t>
      </w:r>
      <w:r w:rsidR="007971BD" w:rsidRPr="00B333B7">
        <w:rPr>
          <w:rFonts w:cstheme="minorHAnsi"/>
          <w:sz w:val="24"/>
          <w:szCs w:val="24"/>
        </w:rPr>
        <w:t>.</w:t>
      </w:r>
    </w:p>
    <w:p w14:paraId="09B67118" w14:textId="6F38AD5B" w:rsidR="00021531" w:rsidRPr="00B333B7" w:rsidRDefault="00021531" w:rsidP="009D556F">
      <w:pPr>
        <w:numPr>
          <w:ilvl w:val="1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Periodically, as prescribed by the equipment manufacturer</w:t>
      </w:r>
      <w:r w:rsidR="007971BD" w:rsidRPr="00B333B7">
        <w:rPr>
          <w:rFonts w:cstheme="minorHAnsi"/>
          <w:sz w:val="24"/>
          <w:szCs w:val="24"/>
        </w:rPr>
        <w:t>.</w:t>
      </w:r>
    </w:p>
    <w:p w14:paraId="371D6D6D" w14:textId="7CCAE73E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7EFBC1EA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4. Regulatory Compliance</w:t>
      </w:r>
    </w:p>
    <w:p w14:paraId="1B4B2D9D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4.1. Licensing and Approvals</w:t>
      </w:r>
    </w:p>
    <w:p w14:paraId="2E21A066" w14:textId="3C6D4F0A" w:rsidR="00021531" w:rsidRPr="00B333B7" w:rsidRDefault="00021531" w:rsidP="009D556F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</w:t>
      </w:r>
      <w:r w:rsidR="007971BD" w:rsidRPr="00B333B7">
        <w:rPr>
          <w:rFonts w:cstheme="minorHAnsi"/>
          <w:sz w:val="24"/>
          <w:szCs w:val="24"/>
        </w:rPr>
        <w:t>will</w:t>
      </w:r>
      <w:r w:rsidRPr="00B333B7">
        <w:rPr>
          <w:rFonts w:cstheme="minorHAnsi"/>
          <w:sz w:val="24"/>
          <w:szCs w:val="24"/>
        </w:rPr>
        <w:t xml:space="preserve"> hold </w:t>
      </w:r>
      <w:r w:rsidR="007971BD" w:rsidRPr="00B333B7">
        <w:rPr>
          <w:rFonts w:cstheme="minorHAnsi"/>
          <w:sz w:val="24"/>
          <w:szCs w:val="24"/>
        </w:rPr>
        <w:t xml:space="preserve">a </w:t>
      </w:r>
      <w:r w:rsidRPr="00B333B7">
        <w:rPr>
          <w:rFonts w:cstheme="minorHAnsi"/>
          <w:sz w:val="24"/>
          <w:szCs w:val="24"/>
        </w:rPr>
        <w:t>valid Supreme Council for Environment licenses for X-ray machine operation.</w:t>
      </w:r>
    </w:p>
    <w:p w14:paraId="1AAB9BA2" w14:textId="36A6AF35" w:rsidR="007971BD" w:rsidRPr="00B333B7" w:rsidRDefault="007971BD" w:rsidP="009D556F">
      <w:pPr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Import Approval: The X-ray machine, being a radiation-emitting device, must be imported into Bahrain with prior approval from the Supreme Council for Environment (SCE).</w:t>
      </w:r>
    </w:p>
    <w:p w14:paraId="339C54BA" w14:textId="77777777" w:rsidR="009D556F" w:rsidRPr="00B333B7" w:rsidRDefault="009D556F" w:rsidP="009D556F">
      <w:pPr>
        <w:spacing w:after="0"/>
        <w:jc w:val="both"/>
        <w:rPr>
          <w:rFonts w:cstheme="minorHAnsi"/>
          <w:sz w:val="24"/>
          <w:szCs w:val="24"/>
        </w:rPr>
      </w:pPr>
    </w:p>
    <w:p w14:paraId="0D253AED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4.2. Environmental Licensing for Disposal</w:t>
      </w:r>
    </w:p>
    <w:p w14:paraId="68525808" w14:textId="6AC81CD9" w:rsidR="00021531" w:rsidRPr="00B333B7" w:rsidRDefault="00021531" w:rsidP="009D556F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shall engage only </w:t>
      </w:r>
      <w:r w:rsidR="00BB633A" w:rsidRPr="00B333B7">
        <w:rPr>
          <w:rFonts w:cstheme="minorHAnsi"/>
          <w:sz w:val="24"/>
          <w:szCs w:val="24"/>
        </w:rPr>
        <w:t xml:space="preserve">Supreme Council for Environment </w:t>
      </w:r>
      <w:r w:rsidRPr="00B333B7">
        <w:rPr>
          <w:rFonts w:cstheme="minorHAnsi"/>
          <w:sz w:val="24"/>
          <w:szCs w:val="24"/>
        </w:rPr>
        <w:t>approved contractors for the disposal of X-ray machines.</w:t>
      </w:r>
    </w:p>
    <w:p w14:paraId="68A2688A" w14:textId="0F6B408F" w:rsidR="00BB633A" w:rsidRPr="00B333B7" w:rsidRDefault="00021531" w:rsidP="009D556F">
      <w:pPr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All procedures including dismantling, transportation and final disposal </w:t>
      </w:r>
      <w:r w:rsidR="007971BD" w:rsidRPr="00B333B7">
        <w:rPr>
          <w:rFonts w:cstheme="minorHAnsi"/>
          <w:sz w:val="24"/>
          <w:szCs w:val="24"/>
        </w:rPr>
        <w:t>will</w:t>
      </w:r>
      <w:r w:rsidRPr="00B333B7">
        <w:rPr>
          <w:rFonts w:cstheme="minorHAnsi"/>
          <w:sz w:val="24"/>
          <w:szCs w:val="24"/>
        </w:rPr>
        <w:t xml:space="preserve"> be licensed.</w:t>
      </w:r>
      <w:r w:rsidR="00BB633A" w:rsidRPr="00B333B7">
        <w:rPr>
          <w:rFonts w:cstheme="minorHAnsi"/>
          <w:sz w:val="24"/>
          <w:szCs w:val="24"/>
        </w:rPr>
        <w:t xml:space="preserve"> Every step in the removal and disposal of the X-ray machine </w:t>
      </w:r>
      <w:r w:rsidR="007971BD" w:rsidRPr="00B333B7">
        <w:rPr>
          <w:rFonts w:cstheme="minorHAnsi"/>
          <w:sz w:val="24"/>
          <w:szCs w:val="24"/>
        </w:rPr>
        <w:t>will</w:t>
      </w:r>
      <w:r w:rsidR="00BB633A" w:rsidRPr="00B333B7">
        <w:rPr>
          <w:rFonts w:cstheme="minorHAnsi"/>
          <w:sz w:val="24"/>
          <w:szCs w:val="24"/>
        </w:rPr>
        <w:t xml:space="preserve"> be done legally and safely, with proper regulatory oversight from the Supreme Council for Environment (SCE).</w:t>
      </w:r>
    </w:p>
    <w:p w14:paraId="20987163" w14:textId="77777777" w:rsidR="009D556F" w:rsidRPr="00B333B7" w:rsidRDefault="009D556F" w:rsidP="009D556F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2EA6C0AD" w14:textId="2C9A05EB" w:rsidR="00CD287F" w:rsidRPr="00B333B7" w:rsidRDefault="00BB633A" w:rsidP="009D556F">
      <w:p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This includes:</w:t>
      </w:r>
      <w:r w:rsidR="009D556F" w:rsidRPr="00B333B7">
        <w:rPr>
          <w:rFonts w:cstheme="minorHAnsi"/>
          <w:sz w:val="24"/>
          <w:szCs w:val="24"/>
        </w:rPr>
        <w:t xml:space="preserve"> </w:t>
      </w:r>
      <w:r w:rsidRPr="00B333B7">
        <w:rPr>
          <w:rFonts w:cstheme="minorHAnsi"/>
          <w:sz w:val="24"/>
          <w:szCs w:val="24"/>
        </w:rPr>
        <w:t>Dismantling the machine (which may involve removing radiation shielding or sensitive components),</w:t>
      </w:r>
      <w:r w:rsidR="00CD287F" w:rsidRPr="00B333B7">
        <w:rPr>
          <w:rFonts w:cstheme="minorHAnsi"/>
          <w:sz w:val="24"/>
          <w:szCs w:val="24"/>
        </w:rPr>
        <w:t xml:space="preserve"> t</w:t>
      </w:r>
      <w:r w:rsidRPr="00B333B7">
        <w:rPr>
          <w:rFonts w:cstheme="minorHAnsi"/>
          <w:sz w:val="24"/>
          <w:szCs w:val="24"/>
        </w:rPr>
        <w:t>ransporting it (special care must be taken to avoid radiation leaks or damage)</w:t>
      </w:r>
      <w:r w:rsidR="00CD287F" w:rsidRPr="00B333B7">
        <w:rPr>
          <w:rFonts w:cstheme="minorHAnsi"/>
          <w:sz w:val="24"/>
          <w:szCs w:val="24"/>
        </w:rPr>
        <w:t xml:space="preserve"> a</w:t>
      </w:r>
      <w:r w:rsidRPr="00B333B7">
        <w:rPr>
          <w:rFonts w:cstheme="minorHAnsi"/>
          <w:sz w:val="24"/>
          <w:szCs w:val="24"/>
        </w:rPr>
        <w:t>nd its final disposal (often at a licensed treatment or disposal facility).</w:t>
      </w:r>
    </w:p>
    <w:p w14:paraId="5F1D8A32" w14:textId="0B4B92BC" w:rsidR="009D556F" w:rsidRPr="00B333B7" w:rsidRDefault="00BB633A" w:rsidP="009D556F">
      <w:p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If the X-ray machine contains radioactive materials with a long half-life (meaning they remain radioactive for many years), or radioisotope generators (used in some imaging equipment), they cannot be disposed of in Bahrain.</w:t>
      </w:r>
      <w:r w:rsidR="00CD287F" w:rsidRPr="00B333B7">
        <w:rPr>
          <w:rFonts w:cstheme="minorHAnsi"/>
          <w:sz w:val="24"/>
          <w:szCs w:val="24"/>
        </w:rPr>
        <w:t xml:space="preserve"> </w:t>
      </w:r>
      <w:r w:rsidRPr="00B333B7">
        <w:rPr>
          <w:rFonts w:cstheme="minorHAnsi"/>
          <w:sz w:val="24"/>
          <w:szCs w:val="24"/>
        </w:rPr>
        <w:t>Instead, they must be shipped back (re-exported) to the country of origin or a country that is licensed and equipped to dispose of or process such materials safely.</w:t>
      </w:r>
    </w:p>
    <w:p w14:paraId="2DF4FA9B" w14:textId="3845DD5F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 xml:space="preserve">4.3. Coordination with Customs and </w:t>
      </w:r>
      <w:r w:rsidR="00BB633A" w:rsidRPr="00B333B7">
        <w:rPr>
          <w:rFonts w:cstheme="minorHAnsi"/>
          <w:b/>
          <w:bCs/>
          <w:sz w:val="24"/>
          <w:szCs w:val="24"/>
        </w:rPr>
        <w:t>Supreme Council for Environment</w:t>
      </w:r>
    </w:p>
    <w:p w14:paraId="74FEB485" w14:textId="77777777" w:rsidR="007868DE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shall facilitate coordination between Bahrain Customs and </w:t>
      </w:r>
      <w:r w:rsidR="007868DE" w:rsidRPr="00B333B7">
        <w:rPr>
          <w:rFonts w:cstheme="minorHAnsi"/>
          <w:sz w:val="24"/>
          <w:szCs w:val="24"/>
        </w:rPr>
        <w:t xml:space="preserve">Supreme Council for Environment </w:t>
      </w:r>
    </w:p>
    <w:p w14:paraId="36F96B32" w14:textId="2C85F74D" w:rsidR="00BB633A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Clearance, movement and disposal of radiation-emitting devices require joint oversight</w:t>
      </w:r>
      <w:r w:rsidR="00CD287F" w:rsidRPr="00B333B7">
        <w:rPr>
          <w:rFonts w:cstheme="minorHAnsi"/>
          <w:sz w:val="24"/>
          <w:szCs w:val="24"/>
        </w:rPr>
        <w:t>. A</w:t>
      </w:r>
      <w:r w:rsidR="00BB633A" w:rsidRPr="00B333B7">
        <w:rPr>
          <w:rFonts w:cstheme="minorHAnsi"/>
          <w:sz w:val="24"/>
          <w:szCs w:val="24"/>
        </w:rPr>
        <w:t xml:space="preserve">ny activity involving the handling, relocation, or disposal of X-ray machines (which are </w:t>
      </w:r>
      <w:r w:rsidR="00BB633A" w:rsidRPr="00B333B7">
        <w:rPr>
          <w:rFonts w:cstheme="minorHAnsi"/>
          <w:sz w:val="24"/>
          <w:szCs w:val="24"/>
        </w:rPr>
        <w:lastRenderedPageBreak/>
        <w:t>considered radiation-emitting devices) must be jointly supervised by all responsible authorities — specifically:</w:t>
      </w:r>
    </w:p>
    <w:p w14:paraId="199239EE" w14:textId="77777777" w:rsidR="00BB633A" w:rsidRPr="00B333B7" w:rsidRDefault="00BB633A" w:rsidP="009D556F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Bahrain Customs (as the operator and governmental body controlling the equipment),</w:t>
      </w:r>
    </w:p>
    <w:p w14:paraId="19C50DFE" w14:textId="77777777" w:rsidR="00BB633A" w:rsidRPr="00B333B7" w:rsidRDefault="00BB633A" w:rsidP="009D556F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Supreme Council for Environment (SCE) (as the environmental and radiation regulatory authority),</w:t>
      </w:r>
    </w:p>
    <w:p w14:paraId="37B69B65" w14:textId="56E9CAC3" w:rsidR="00BB633A" w:rsidRPr="00B333B7" w:rsidRDefault="00BB633A" w:rsidP="009D556F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And SMSA, as the host facility responsible for safety at the site.</w:t>
      </w:r>
    </w:p>
    <w:p w14:paraId="62146F22" w14:textId="77777777" w:rsidR="00CD287F" w:rsidRPr="00B333B7" w:rsidRDefault="00CD287F" w:rsidP="00CD287F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73744E86" w14:textId="77777777" w:rsidR="00BB633A" w:rsidRPr="00B333B7" w:rsidRDefault="00BB633A" w:rsidP="00CD287F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Key Activities Requiring Oversight:</w:t>
      </w:r>
    </w:p>
    <w:p w14:paraId="4FF56CE8" w14:textId="77777777" w:rsidR="00BB633A" w:rsidRPr="00B333B7" w:rsidRDefault="00BB633A" w:rsidP="00CD287F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Clearance: Approval or authorization to move or dispose of the machine.</w:t>
      </w:r>
    </w:p>
    <w:p w14:paraId="155FCE6F" w14:textId="77777777" w:rsidR="00BB633A" w:rsidRPr="00B333B7" w:rsidRDefault="00BB633A" w:rsidP="00CD287F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Movement: Physically transporting the machine from one location to another.</w:t>
      </w:r>
    </w:p>
    <w:p w14:paraId="078C7C03" w14:textId="241AF9D6" w:rsidR="00BB633A" w:rsidRPr="00B333B7" w:rsidRDefault="00BB633A" w:rsidP="009D556F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Disposal: Safely dismantling and getting rid of the machine through an approved process.</w:t>
      </w:r>
    </w:p>
    <w:p w14:paraId="5FA78569" w14:textId="6057FDD3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38B5F1A0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5. Security Measures</w:t>
      </w:r>
    </w:p>
    <w:p w14:paraId="370350DB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5.1. Access Control</w:t>
      </w:r>
    </w:p>
    <w:p w14:paraId="1541B136" w14:textId="77777777" w:rsidR="00021531" w:rsidRPr="00B333B7" w:rsidRDefault="00021531" w:rsidP="009D556F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X-ray machine zones are restricted areas.</w:t>
      </w:r>
    </w:p>
    <w:p w14:paraId="14381B51" w14:textId="041D3E7C" w:rsidR="00021531" w:rsidRPr="00B333B7" w:rsidRDefault="00021531" w:rsidP="009D556F">
      <w:pPr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Unauthorized personnel including SMSA staff are not permitted to access operational areas.</w:t>
      </w:r>
    </w:p>
    <w:p w14:paraId="70F2D351" w14:textId="77777777" w:rsidR="009D556F" w:rsidRPr="00B333B7" w:rsidRDefault="009D556F" w:rsidP="009D556F">
      <w:pPr>
        <w:spacing w:after="0"/>
        <w:jc w:val="both"/>
        <w:rPr>
          <w:rFonts w:cstheme="minorHAnsi"/>
          <w:sz w:val="24"/>
          <w:szCs w:val="24"/>
        </w:rPr>
      </w:pPr>
    </w:p>
    <w:p w14:paraId="477CBCD4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5.2. Signage and Labeling</w:t>
      </w:r>
    </w:p>
    <w:p w14:paraId="1764F905" w14:textId="77777777" w:rsidR="00021531" w:rsidRPr="00B333B7" w:rsidRDefault="00021531" w:rsidP="009D556F">
      <w:pPr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Radiation hazard signs must be clearly displayed.</w:t>
      </w:r>
    </w:p>
    <w:p w14:paraId="17B1ECCA" w14:textId="77777777" w:rsidR="00021531" w:rsidRPr="00B333B7" w:rsidRDefault="00021531" w:rsidP="009D556F">
      <w:pPr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Emergency contacts and safety instructions must be visible near the machine area.</w:t>
      </w:r>
    </w:p>
    <w:p w14:paraId="4B67DEBD" w14:textId="0F163E59" w:rsidR="00CD287F" w:rsidRPr="00B333B7" w:rsidRDefault="00CD287F" w:rsidP="009D556F">
      <w:pPr>
        <w:jc w:val="both"/>
        <w:rPr>
          <w:rFonts w:cstheme="minorHAnsi"/>
          <w:sz w:val="24"/>
          <w:szCs w:val="24"/>
        </w:rPr>
      </w:pPr>
    </w:p>
    <w:p w14:paraId="68792033" w14:textId="33291DC5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6. Emergency Preparedness &amp; Response</w:t>
      </w:r>
    </w:p>
    <w:p w14:paraId="09D5293C" w14:textId="35A99C9D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 xml:space="preserve">6.1. Emergency Supreme Council for Environment </w:t>
      </w:r>
      <w:r w:rsidR="00CD287F" w:rsidRPr="00B333B7">
        <w:rPr>
          <w:rFonts w:cstheme="minorHAnsi"/>
          <w:b/>
          <w:bCs/>
          <w:sz w:val="24"/>
          <w:szCs w:val="24"/>
        </w:rPr>
        <w:t>sce</w:t>
      </w:r>
      <w:r w:rsidRPr="00B333B7">
        <w:rPr>
          <w:rFonts w:cstheme="minorHAnsi"/>
          <w:b/>
          <w:bCs/>
          <w:sz w:val="24"/>
          <w:szCs w:val="24"/>
        </w:rPr>
        <w:t>narios and Response</w:t>
      </w:r>
    </w:p>
    <w:p w14:paraId="519B9B11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A. Minor Malfunction (Non-Radiation)</w:t>
      </w:r>
    </w:p>
    <w:p w14:paraId="5998C4D3" w14:textId="77777777" w:rsidR="00021531" w:rsidRPr="00B333B7" w:rsidRDefault="00021531" w:rsidP="00CD287F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SMSA to notify the vendor immediately.</w:t>
      </w:r>
    </w:p>
    <w:p w14:paraId="54C3B0D6" w14:textId="77777777" w:rsidR="00021531" w:rsidRPr="00B333B7" w:rsidRDefault="00021531" w:rsidP="00CD287F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Power to the machine must be isolated.</w:t>
      </w:r>
    </w:p>
    <w:p w14:paraId="7263E7F1" w14:textId="1EB672FE" w:rsidR="00021531" w:rsidRPr="00B333B7" w:rsidRDefault="00021531" w:rsidP="00CD287F">
      <w:pPr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Vendor to inspect and resolve.</w:t>
      </w:r>
    </w:p>
    <w:p w14:paraId="58664679" w14:textId="77777777" w:rsidR="00CD287F" w:rsidRPr="00B333B7" w:rsidRDefault="00CD287F" w:rsidP="00CD287F">
      <w:pPr>
        <w:spacing w:after="0"/>
        <w:jc w:val="both"/>
        <w:rPr>
          <w:rFonts w:cstheme="minorHAnsi"/>
          <w:sz w:val="24"/>
          <w:szCs w:val="24"/>
        </w:rPr>
      </w:pPr>
    </w:p>
    <w:p w14:paraId="7DC5FF75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B. Radiation Leak Suspected</w:t>
      </w:r>
    </w:p>
    <w:p w14:paraId="2FE635E6" w14:textId="77777777" w:rsidR="00021531" w:rsidRPr="00B333B7" w:rsidRDefault="00021531" w:rsidP="00CD287F">
      <w:pPr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Evacuate and restrict access to affected area.</w:t>
      </w:r>
    </w:p>
    <w:p w14:paraId="2DAE7EEA" w14:textId="77777777" w:rsidR="00021531" w:rsidRPr="00B333B7" w:rsidRDefault="00021531" w:rsidP="00CD287F">
      <w:pPr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Notify:</w:t>
      </w:r>
    </w:p>
    <w:p w14:paraId="1A479FFE" w14:textId="36D9B88B" w:rsidR="00021531" w:rsidRPr="00B333B7" w:rsidRDefault="00021531" w:rsidP="00CD287F">
      <w:pPr>
        <w:numPr>
          <w:ilvl w:val="1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Bahrain Customs</w:t>
      </w:r>
    </w:p>
    <w:p w14:paraId="48D1839A" w14:textId="1D956AE7" w:rsidR="00021531" w:rsidRPr="00B333B7" w:rsidRDefault="00021531" w:rsidP="00CD287F">
      <w:pPr>
        <w:numPr>
          <w:ilvl w:val="1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Supreme Council for Environment (Radiation Control Directorate)</w:t>
      </w:r>
    </w:p>
    <w:p w14:paraId="28B28ADB" w14:textId="77777777" w:rsidR="00021531" w:rsidRPr="00B333B7" w:rsidRDefault="00021531" w:rsidP="00CD287F">
      <w:pPr>
        <w:numPr>
          <w:ilvl w:val="1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lastRenderedPageBreak/>
        <w:t>Vendor</w:t>
      </w:r>
    </w:p>
    <w:p w14:paraId="6485BA37" w14:textId="517580B5" w:rsidR="00021531" w:rsidRPr="00B333B7" w:rsidRDefault="00021531" w:rsidP="00CD287F">
      <w:pPr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Await radiation professionals for clearance.</w:t>
      </w:r>
    </w:p>
    <w:p w14:paraId="23D7892E" w14:textId="77777777" w:rsidR="00CD287F" w:rsidRPr="00B333B7" w:rsidRDefault="00CD287F" w:rsidP="00CD287F">
      <w:pPr>
        <w:spacing w:after="0"/>
        <w:jc w:val="both"/>
        <w:rPr>
          <w:rFonts w:cstheme="minorHAnsi"/>
          <w:sz w:val="24"/>
          <w:szCs w:val="24"/>
        </w:rPr>
      </w:pPr>
    </w:p>
    <w:p w14:paraId="7945B4D5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C. Fire or Environmental Hazard</w:t>
      </w:r>
    </w:p>
    <w:p w14:paraId="02373BF4" w14:textId="77777777" w:rsidR="00021531" w:rsidRPr="00B333B7" w:rsidRDefault="00021531" w:rsidP="00CD287F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Activate warehouse emergency response (fire/evacuation protocol).</w:t>
      </w:r>
    </w:p>
    <w:p w14:paraId="1C03BAC3" w14:textId="04C29FF5" w:rsidR="00021531" w:rsidRPr="00B333B7" w:rsidRDefault="00021531" w:rsidP="00CD287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Notify Civil </w:t>
      </w:r>
      <w:proofErr w:type="spellStart"/>
      <w:r w:rsidRPr="00B333B7">
        <w:rPr>
          <w:rFonts w:cstheme="minorHAnsi"/>
          <w:sz w:val="24"/>
          <w:szCs w:val="24"/>
        </w:rPr>
        <w:t>Defence</w:t>
      </w:r>
      <w:proofErr w:type="spellEnd"/>
      <w:r w:rsidRPr="00B333B7">
        <w:rPr>
          <w:rFonts w:cstheme="minorHAnsi"/>
          <w:sz w:val="24"/>
          <w:szCs w:val="24"/>
        </w:rPr>
        <w:t xml:space="preserve">, Customs, and </w:t>
      </w:r>
      <w:r w:rsidR="007868DE" w:rsidRPr="00B333B7">
        <w:rPr>
          <w:rFonts w:cstheme="minorHAnsi"/>
          <w:sz w:val="24"/>
          <w:szCs w:val="24"/>
        </w:rPr>
        <w:t>Supreme Council for Environment</w:t>
      </w:r>
      <w:r w:rsidRPr="00B333B7">
        <w:rPr>
          <w:rFonts w:cstheme="minorHAnsi"/>
          <w:sz w:val="24"/>
          <w:szCs w:val="24"/>
        </w:rPr>
        <w:t>.</w:t>
      </w:r>
    </w:p>
    <w:p w14:paraId="56208A61" w14:textId="1665C4F0" w:rsidR="00021531" w:rsidRPr="00B333B7" w:rsidRDefault="00021531" w:rsidP="00CD287F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Secure the site against environmental contamination.</w:t>
      </w:r>
    </w:p>
    <w:p w14:paraId="5940D9B7" w14:textId="77777777" w:rsidR="00CD287F" w:rsidRPr="00B333B7" w:rsidRDefault="00CD287F" w:rsidP="00CD287F">
      <w:pPr>
        <w:spacing w:after="0"/>
        <w:jc w:val="both"/>
        <w:rPr>
          <w:rFonts w:cstheme="minorHAnsi"/>
          <w:sz w:val="24"/>
          <w:szCs w:val="24"/>
        </w:rPr>
      </w:pPr>
    </w:p>
    <w:p w14:paraId="39699D48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6.2. National Radiological Emergency Plan Integration</w:t>
      </w:r>
    </w:p>
    <w:p w14:paraId="23C3982B" w14:textId="77777777" w:rsidR="00021531" w:rsidRPr="00B333B7" w:rsidRDefault="00021531" w:rsidP="00CD287F">
      <w:pPr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SMSA shall align its emergency response procedures with Bahrain's national radiological emergency framework.</w:t>
      </w:r>
    </w:p>
    <w:p w14:paraId="21B16843" w14:textId="65EE5280" w:rsidR="00021531" w:rsidRPr="00B333B7" w:rsidRDefault="00021531" w:rsidP="00CD287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Coordination with </w:t>
      </w:r>
      <w:r w:rsidR="007868DE" w:rsidRPr="00B333B7">
        <w:rPr>
          <w:rFonts w:cstheme="minorHAnsi"/>
          <w:sz w:val="24"/>
          <w:szCs w:val="24"/>
        </w:rPr>
        <w:t xml:space="preserve">Supreme Council for Environment </w:t>
      </w:r>
      <w:r w:rsidRPr="00B333B7">
        <w:rPr>
          <w:rFonts w:cstheme="minorHAnsi"/>
          <w:sz w:val="24"/>
          <w:szCs w:val="24"/>
        </w:rPr>
        <w:t>is mandatory during any such incident.</w:t>
      </w:r>
    </w:p>
    <w:p w14:paraId="02DFDE8F" w14:textId="77777777" w:rsidR="00CD287F" w:rsidRPr="00B333B7" w:rsidRDefault="00CD287F" w:rsidP="00CD287F">
      <w:pPr>
        <w:spacing w:after="0"/>
        <w:jc w:val="both"/>
        <w:rPr>
          <w:rFonts w:cstheme="minorHAnsi"/>
          <w:sz w:val="24"/>
          <w:szCs w:val="24"/>
        </w:rPr>
      </w:pPr>
    </w:p>
    <w:p w14:paraId="2DF9A67C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6.3. Documentation</w:t>
      </w:r>
    </w:p>
    <w:p w14:paraId="5D74BC36" w14:textId="7BBC90E9" w:rsidR="00021531" w:rsidRPr="00B333B7" w:rsidRDefault="00021531" w:rsidP="007868DE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All incidents must be logged and formally reported to the </w:t>
      </w:r>
      <w:r w:rsidR="007868DE" w:rsidRPr="00B333B7">
        <w:rPr>
          <w:rFonts w:cstheme="minorHAnsi"/>
          <w:sz w:val="24"/>
          <w:szCs w:val="24"/>
        </w:rPr>
        <w:t>Supreme Council for Environment</w:t>
      </w:r>
      <w:r w:rsidR="009D556F" w:rsidRPr="00B333B7">
        <w:rPr>
          <w:rFonts w:cstheme="minorHAnsi"/>
          <w:sz w:val="24"/>
          <w:szCs w:val="24"/>
        </w:rPr>
        <w:t xml:space="preserve"> and SMSA, Quality and Risk Management department.</w:t>
      </w:r>
    </w:p>
    <w:p w14:paraId="6265434D" w14:textId="63628385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61D3B916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7. Training and Awareness</w:t>
      </w:r>
    </w:p>
    <w:p w14:paraId="12707236" w14:textId="6EAC8066" w:rsidR="00021531" w:rsidRPr="00B333B7" w:rsidRDefault="00021531" w:rsidP="009D556F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Vendor provides operational training to Bahrain Customs</w:t>
      </w:r>
      <w:r w:rsidR="009D556F" w:rsidRPr="00B333B7">
        <w:rPr>
          <w:rFonts w:cstheme="minorHAnsi"/>
          <w:sz w:val="24"/>
          <w:szCs w:val="24"/>
        </w:rPr>
        <w:t xml:space="preserve"> where applicable.</w:t>
      </w:r>
    </w:p>
    <w:p w14:paraId="7EDA46B3" w14:textId="77777777" w:rsidR="00021531" w:rsidRPr="00B333B7" w:rsidRDefault="00021531" w:rsidP="009D556F">
      <w:pPr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SMSA personnel shall be trained on:</w:t>
      </w:r>
    </w:p>
    <w:p w14:paraId="16D72D00" w14:textId="77777777" w:rsidR="00021531" w:rsidRPr="00B333B7" w:rsidRDefault="00021531" w:rsidP="009D556F">
      <w:pPr>
        <w:numPr>
          <w:ilvl w:val="1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Emergency contact procedures</w:t>
      </w:r>
    </w:p>
    <w:p w14:paraId="57E62919" w14:textId="77777777" w:rsidR="00021531" w:rsidRPr="00B333B7" w:rsidRDefault="00021531" w:rsidP="009D556F">
      <w:pPr>
        <w:numPr>
          <w:ilvl w:val="1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Area evacuation and isolation</w:t>
      </w:r>
    </w:p>
    <w:p w14:paraId="33C38497" w14:textId="77777777" w:rsidR="00021531" w:rsidRPr="00B333B7" w:rsidRDefault="00021531" w:rsidP="009D556F">
      <w:pPr>
        <w:numPr>
          <w:ilvl w:val="1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Basic awareness of radiation hazards</w:t>
      </w:r>
    </w:p>
    <w:p w14:paraId="33D87771" w14:textId="555C5F14" w:rsidR="00021531" w:rsidRDefault="00021531" w:rsidP="006C7ACF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Annual awareness sessions and drills will be conducted</w:t>
      </w:r>
      <w:r w:rsidR="009D556F" w:rsidRPr="00B333B7">
        <w:rPr>
          <w:rFonts w:cstheme="minorHAnsi"/>
          <w:sz w:val="24"/>
          <w:szCs w:val="24"/>
        </w:rPr>
        <w:t>.</w:t>
      </w:r>
    </w:p>
    <w:p w14:paraId="662D6163" w14:textId="77777777" w:rsidR="00B333B7" w:rsidRPr="00B333B7" w:rsidRDefault="00B333B7" w:rsidP="00B333B7">
      <w:pPr>
        <w:jc w:val="both"/>
        <w:rPr>
          <w:rFonts w:cstheme="minorHAnsi"/>
          <w:sz w:val="24"/>
          <w:szCs w:val="24"/>
        </w:rPr>
      </w:pPr>
    </w:p>
    <w:p w14:paraId="126AF369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8. Maintenance and Inspection</w:t>
      </w:r>
    </w:p>
    <w:p w14:paraId="2C08AFF4" w14:textId="77777777" w:rsidR="00021531" w:rsidRPr="00B333B7" w:rsidRDefault="00021531" w:rsidP="009D556F">
      <w:pPr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Annual preventive maintenance is performed by the vendor and includes:</w:t>
      </w:r>
    </w:p>
    <w:p w14:paraId="6452EEF1" w14:textId="77777777" w:rsidR="00021531" w:rsidRPr="00B333B7" w:rsidRDefault="00021531" w:rsidP="009D556F">
      <w:pPr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Mechanical/electrical system inspection</w:t>
      </w:r>
    </w:p>
    <w:p w14:paraId="5CA58271" w14:textId="77777777" w:rsidR="00021531" w:rsidRPr="00B333B7" w:rsidRDefault="00021531" w:rsidP="009D556F">
      <w:pPr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Calibration and diagnostics</w:t>
      </w:r>
    </w:p>
    <w:p w14:paraId="7E253CC7" w14:textId="7D1061F6" w:rsidR="009D556F" w:rsidRPr="00B333B7" w:rsidRDefault="00021531" w:rsidP="009D556F">
      <w:pPr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Interlock testing</w:t>
      </w:r>
    </w:p>
    <w:p w14:paraId="52607FAA" w14:textId="37B31A0B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</w:t>
      </w:r>
      <w:r w:rsidR="009D556F" w:rsidRPr="00B333B7">
        <w:rPr>
          <w:rFonts w:cstheme="minorHAnsi"/>
          <w:sz w:val="24"/>
          <w:szCs w:val="24"/>
        </w:rPr>
        <w:t>will</w:t>
      </w:r>
      <w:r w:rsidRPr="00B333B7">
        <w:rPr>
          <w:rFonts w:cstheme="minorHAnsi"/>
          <w:sz w:val="24"/>
          <w:szCs w:val="24"/>
        </w:rPr>
        <w:t xml:space="preserve"> maintain vendor reports and confirm that inspections meet </w:t>
      </w:r>
      <w:r w:rsidR="007868DE" w:rsidRPr="00B333B7">
        <w:rPr>
          <w:rFonts w:cstheme="minorHAnsi"/>
          <w:sz w:val="24"/>
          <w:szCs w:val="24"/>
        </w:rPr>
        <w:t>Supreme Council for Environment</w:t>
      </w:r>
      <w:r w:rsidRPr="00B333B7">
        <w:rPr>
          <w:rFonts w:cstheme="minorHAnsi"/>
          <w:sz w:val="24"/>
          <w:szCs w:val="24"/>
        </w:rPr>
        <w:t xml:space="preserve"> compliance.</w:t>
      </w:r>
    </w:p>
    <w:p w14:paraId="5B0E8788" w14:textId="75FE072D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57724006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lastRenderedPageBreak/>
        <w:t>9. X-ray Machine Disposal Plan</w:t>
      </w:r>
    </w:p>
    <w:p w14:paraId="550F1B4B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9.1. Disposal Responsibility</w:t>
      </w:r>
    </w:p>
    <w:p w14:paraId="3F96E26A" w14:textId="129686CE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will hire a </w:t>
      </w:r>
      <w:r w:rsidR="007868DE" w:rsidRPr="00B333B7">
        <w:rPr>
          <w:rFonts w:cstheme="minorHAnsi"/>
          <w:sz w:val="24"/>
          <w:szCs w:val="24"/>
        </w:rPr>
        <w:t xml:space="preserve">Supreme Council for Environment </w:t>
      </w:r>
      <w:r w:rsidRPr="00B333B7">
        <w:rPr>
          <w:rFonts w:cstheme="minorHAnsi"/>
          <w:sz w:val="24"/>
          <w:szCs w:val="24"/>
        </w:rPr>
        <w:t>-approved contractor.</w:t>
      </w:r>
    </w:p>
    <w:p w14:paraId="1A78D201" w14:textId="5990243D" w:rsidR="00021531" w:rsidRPr="00B333B7" w:rsidRDefault="00021531" w:rsidP="009D556F">
      <w:pPr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All dismantling, packaging and transport must be documented and compliant with environmental laws.</w:t>
      </w:r>
    </w:p>
    <w:p w14:paraId="09CB269C" w14:textId="77777777" w:rsidR="009D556F" w:rsidRPr="00B333B7" w:rsidRDefault="009D556F" w:rsidP="009D556F">
      <w:pPr>
        <w:spacing w:after="0"/>
        <w:jc w:val="both"/>
        <w:rPr>
          <w:rFonts w:cstheme="minorHAnsi"/>
          <w:sz w:val="24"/>
          <w:szCs w:val="24"/>
        </w:rPr>
      </w:pPr>
    </w:p>
    <w:p w14:paraId="281D2D82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9.2. Disposal Process</w:t>
      </w:r>
    </w:p>
    <w:p w14:paraId="02679019" w14:textId="0D0BA4F4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Contractor to apply for necessary permits from</w:t>
      </w:r>
      <w:r w:rsidR="007868DE" w:rsidRPr="00B333B7">
        <w:rPr>
          <w:rFonts w:cstheme="minorHAnsi"/>
          <w:sz w:val="24"/>
          <w:szCs w:val="24"/>
        </w:rPr>
        <w:t xml:space="preserve"> Supreme Council for Environment</w:t>
      </w:r>
      <w:r w:rsidRPr="00B333B7">
        <w:rPr>
          <w:rFonts w:cstheme="minorHAnsi"/>
          <w:sz w:val="24"/>
          <w:szCs w:val="24"/>
        </w:rPr>
        <w:t>.</w:t>
      </w:r>
    </w:p>
    <w:p w14:paraId="5A0FC794" w14:textId="77777777" w:rsidR="00021531" w:rsidRPr="00B333B7" w:rsidRDefault="00021531" w:rsidP="009D556F">
      <w:pPr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Machine components must be securely shielded during transport.</w:t>
      </w:r>
    </w:p>
    <w:p w14:paraId="2A6850F6" w14:textId="66385410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Disposal to be conducted at </w:t>
      </w:r>
      <w:r w:rsidR="007868DE" w:rsidRPr="00B333B7">
        <w:rPr>
          <w:rFonts w:cstheme="minorHAnsi"/>
          <w:sz w:val="24"/>
          <w:szCs w:val="24"/>
        </w:rPr>
        <w:t>Supreme Council for Environment</w:t>
      </w:r>
      <w:r w:rsidRPr="00B333B7">
        <w:rPr>
          <w:rFonts w:cstheme="minorHAnsi"/>
          <w:sz w:val="24"/>
          <w:szCs w:val="24"/>
        </w:rPr>
        <w:t>-designated facilities.</w:t>
      </w:r>
    </w:p>
    <w:p w14:paraId="7EF6AFD3" w14:textId="6D9A5B61" w:rsidR="00021531" w:rsidRPr="00B333B7" w:rsidRDefault="00021531" w:rsidP="009D556F">
      <w:pPr>
        <w:numPr>
          <w:ilvl w:val="0"/>
          <w:numId w:val="17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Obtain disposal and decontamination certificates.</w:t>
      </w:r>
    </w:p>
    <w:p w14:paraId="55B084CF" w14:textId="77777777" w:rsidR="009D556F" w:rsidRPr="00B333B7" w:rsidRDefault="009D556F" w:rsidP="009D556F">
      <w:pPr>
        <w:spacing w:after="0"/>
        <w:jc w:val="both"/>
        <w:rPr>
          <w:rFonts w:cstheme="minorHAnsi"/>
          <w:sz w:val="24"/>
          <w:szCs w:val="24"/>
        </w:rPr>
      </w:pPr>
    </w:p>
    <w:p w14:paraId="58C43646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9.3. Environmental and Health Safety</w:t>
      </w:r>
    </w:p>
    <w:p w14:paraId="7A6308BF" w14:textId="77777777" w:rsidR="00021531" w:rsidRPr="00B333B7" w:rsidRDefault="00021531" w:rsidP="009D556F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Post-disposal, the area will be inspected for contamination.</w:t>
      </w:r>
    </w:p>
    <w:p w14:paraId="4453881D" w14:textId="77777777" w:rsidR="00021531" w:rsidRPr="00B333B7" w:rsidRDefault="00021531" w:rsidP="009D556F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Clearance and environmental safety checks must be conducted.</w:t>
      </w:r>
    </w:p>
    <w:p w14:paraId="53999CC5" w14:textId="130EEB40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The area will not be re-occupied until clearance is certified by</w:t>
      </w:r>
      <w:r w:rsidR="007868DE" w:rsidRPr="00B333B7">
        <w:rPr>
          <w:rFonts w:cstheme="minorHAnsi"/>
          <w:sz w:val="24"/>
          <w:szCs w:val="24"/>
        </w:rPr>
        <w:t xml:space="preserve"> Supreme Council for Environment</w:t>
      </w:r>
      <w:r w:rsidRPr="00B333B7">
        <w:rPr>
          <w:rFonts w:cstheme="minorHAnsi"/>
          <w:sz w:val="24"/>
          <w:szCs w:val="24"/>
        </w:rPr>
        <w:t>.</w:t>
      </w:r>
    </w:p>
    <w:p w14:paraId="47202269" w14:textId="2D663EFD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36D4DEC0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10. Record Keeping</w:t>
      </w:r>
    </w:p>
    <w:p w14:paraId="1F7245F7" w14:textId="0185BDE7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 xml:space="preserve">SMSA </w:t>
      </w:r>
      <w:r w:rsidR="009D556F" w:rsidRPr="00B333B7">
        <w:rPr>
          <w:rFonts w:cstheme="minorHAnsi"/>
          <w:sz w:val="24"/>
          <w:szCs w:val="24"/>
        </w:rPr>
        <w:t>will</w:t>
      </w:r>
      <w:r w:rsidRPr="00B333B7">
        <w:rPr>
          <w:rFonts w:cstheme="minorHAnsi"/>
          <w:sz w:val="24"/>
          <w:szCs w:val="24"/>
        </w:rPr>
        <w:t xml:space="preserve"> maintain and organize the following records:</w:t>
      </w:r>
    </w:p>
    <w:p w14:paraId="7DF2E2E1" w14:textId="05EA6F37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Equipment licenses and</w:t>
      </w:r>
      <w:r w:rsidR="007868DE" w:rsidRPr="00B333B7">
        <w:rPr>
          <w:rFonts w:cstheme="minorHAnsi"/>
          <w:sz w:val="24"/>
          <w:szCs w:val="24"/>
        </w:rPr>
        <w:t xml:space="preserve"> Supreme Council for Environment </w:t>
      </w:r>
      <w:r w:rsidRPr="00B333B7">
        <w:rPr>
          <w:rFonts w:cstheme="minorHAnsi"/>
          <w:sz w:val="24"/>
          <w:szCs w:val="24"/>
        </w:rPr>
        <w:t>approvals</w:t>
      </w:r>
    </w:p>
    <w:p w14:paraId="69F6BCE2" w14:textId="77777777" w:rsidR="00021531" w:rsidRPr="00B333B7" w:rsidRDefault="00021531" w:rsidP="009D556F">
      <w:pPr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Vendor maintenance reports</w:t>
      </w:r>
    </w:p>
    <w:p w14:paraId="39B920B7" w14:textId="77777777" w:rsidR="00021531" w:rsidRPr="00B333B7" w:rsidRDefault="00021531" w:rsidP="009D556F">
      <w:pPr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Emergency response reports</w:t>
      </w:r>
    </w:p>
    <w:p w14:paraId="0E28D491" w14:textId="77777777" w:rsidR="00021531" w:rsidRPr="00B333B7" w:rsidRDefault="00021531" w:rsidP="009D556F">
      <w:pPr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Staff training records</w:t>
      </w:r>
    </w:p>
    <w:p w14:paraId="4F6F681C" w14:textId="77777777" w:rsidR="00021531" w:rsidRPr="00B333B7" w:rsidRDefault="00021531" w:rsidP="009D556F">
      <w:pPr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Disposal process documentation and certificates</w:t>
      </w:r>
    </w:p>
    <w:p w14:paraId="7FF9E52A" w14:textId="468B2A47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30D98B26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11. Summary of SMSA Obligations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7185"/>
      </w:tblGrid>
      <w:tr w:rsidR="00021531" w:rsidRPr="00B333B7" w14:paraId="459EAB8A" w14:textId="77777777" w:rsidTr="00B333B7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24BBF345" w14:textId="77777777" w:rsidR="00021531" w:rsidRPr="00B333B7" w:rsidRDefault="00021531" w:rsidP="00B333B7">
            <w:pPr>
              <w:spacing w:before="120" w:after="12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333B7">
              <w:rPr>
                <w:rFonts w:cstheme="minorHAns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97055F6" w14:textId="77777777" w:rsidR="00021531" w:rsidRPr="00B333B7" w:rsidRDefault="00021531" w:rsidP="00B333B7">
            <w:pPr>
              <w:spacing w:before="120" w:after="12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333B7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</w:tr>
      <w:tr w:rsidR="00021531" w:rsidRPr="00B333B7" w14:paraId="5BC77106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7327998F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Safety</w:t>
            </w:r>
          </w:p>
        </w:tc>
        <w:tc>
          <w:tcPr>
            <w:tcW w:w="0" w:type="auto"/>
            <w:hideMark/>
          </w:tcPr>
          <w:p w14:paraId="513AE747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Restrict access, ensure hazard awareness, support safety practices</w:t>
            </w:r>
          </w:p>
        </w:tc>
      </w:tr>
      <w:tr w:rsidR="00021531" w:rsidRPr="00B333B7" w14:paraId="31B9ED7A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0D47D20B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Security</w:t>
            </w:r>
          </w:p>
        </w:tc>
        <w:tc>
          <w:tcPr>
            <w:tcW w:w="0" w:type="auto"/>
            <w:hideMark/>
          </w:tcPr>
          <w:p w14:paraId="1751A1D4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Control area access, display signage</w:t>
            </w:r>
          </w:p>
        </w:tc>
      </w:tr>
      <w:tr w:rsidR="00021531" w:rsidRPr="00B333B7" w14:paraId="748DF15D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44D82248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Emergency</w:t>
            </w:r>
          </w:p>
        </w:tc>
        <w:tc>
          <w:tcPr>
            <w:tcW w:w="0" w:type="auto"/>
            <w:hideMark/>
          </w:tcPr>
          <w:p w14:paraId="32A81081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Notify appropriate authorities, isolate areas, assist response efforts</w:t>
            </w:r>
          </w:p>
        </w:tc>
      </w:tr>
      <w:tr w:rsidR="00021531" w:rsidRPr="00B333B7" w14:paraId="1F3C1107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04716816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lastRenderedPageBreak/>
              <w:t>Training</w:t>
            </w:r>
          </w:p>
        </w:tc>
        <w:tc>
          <w:tcPr>
            <w:tcW w:w="0" w:type="auto"/>
            <w:hideMark/>
          </w:tcPr>
          <w:p w14:paraId="0DB2CBAB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Conduct staff awareness training, hold emergency drills</w:t>
            </w:r>
          </w:p>
        </w:tc>
      </w:tr>
      <w:tr w:rsidR="00021531" w:rsidRPr="00B333B7" w14:paraId="1BB98C55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5E65EBF8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Maintenance Oversight</w:t>
            </w:r>
          </w:p>
        </w:tc>
        <w:tc>
          <w:tcPr>
            <w:tcW w:w="0" w:type="auto"/>
            <w:vAlign w:val="center"/>
            <w:hideMark/>
          </w:tcPr>
          <w:p w14:paraId="071A6C4D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Ensure vendor performs maintenance and documents compliance</w:t>
            </w:r>
          </w:p>
        </w:tc>
      </w:tr>
      <w:tr w:rsidR="00021531" w:rsidRPr="00B333B7" w14:paraId="049665F3" w14:textId="77777777" w:rsidTr="00B333B7">
        <w:trPr>
          <w:jc w:val="center"/>
        </w:trPr>
        <w:tc>
          <w:tcPr>
            <w:tcW w:w="0" w:type="auto"/>
            <w:vAlign w:val="center"/>
            <w:hideMark/>
          </w:tcPr>
          <w:p w14:paraId="384961DC" w14:textId="77777777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>Disposal</w:t>
            </w:r>
          </w:p>
        </w:tc>
        <w:tc>
          <w:tcPr>
            <w:tcW w:w="0" w:type="auto"/>
            <w:hideMark/>
          </w:tcPr>
          <w:p w14:paraId="723C0B9C" w14:textId="5A76BCAF" w:rsidR="00021531" w:rsidRPr="00B333B7" w:rsidRDefault="00021531" w:rsidP="00B333B7">
            <w:pPr>
              <w:spacing w:before="120" w:after="120" w:line="259" w:lineRule="auto"/>
              <w:rPr>
                <w:rFonts w:cstheme="minorHAnsi"/>
                <w:sz w:val="24"/>
                <w:szCs w:val="24"/>
              </w:rPr>
            </w:pPr>
            <w:r w:rsidRPr="00B333B7">
              <w:rPr>
                <w:rFonts w:cstheme="minorHAnsi"/>
                <w:sz w:val="24"/>
                <w:szCs w:val="24"/>
              </w:rPr>
              <w:t xml:space="preserve">Engage licensed contractor, ensure compliance with all </w:t>
            </w:r>
            <w:r w:rsidR="007868DE" w:rsidRPr="00B333B7">
              <w:rPr>
                <w:rFonts w:cstheme="minorHAnsi"/>
                <w:sz w:val="24"/>
                <w:szCs w:val="24"/>
              </w:rPr>
              <w:t>Supreme Council for Environment</w:t>
            </w:r>
            <w:r w:rsidRPr="00B333B7">
              <w:rPr>
                <w:rFonts w:cstheme="minorHAnsi"/>
                <w:sz w:val="24"/>
                <w:szCs w:val="24"/>
              </w:rPr>
              <w:t xml:space="preserve"> regulations</w:t>
            </w:r>
          </w:p>
        </w:tc>
      </w:tr>
    </w:tbl>
    <w:p w14:paraId="18D1BB93" w14:textId="009146DB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p w14:paraId="4115B4E5" w14:textId="77777777" w:rsidR="00021531" w:rsidRPr="00B333B7" w:rsidRDefault="00021531" w:rsidP="00021531">
      <w:pPr>
        <w:jc w:val="both"/>
        <w:rPr>
          <w:rFonts w:cstheme="minorHAnsi"/>
          <w:b/>
          <w:bCs/>
          <w:sz w:val="24"/>
          <w:szCs w:val="24"/>
        </w:rPr>
      </w:pPr>
      <w:r w:rsidRPr="00B333B7">
        <w:rPr>
          <w:rFonts w:cstheme="minorHAnsi"/>
          <w:b/>
          <w:bCs/>
          <w:sz w:val="24"/>
          <w:szCs w:val="24"/>
        </w:rPr>
        <w:t>12. References</w:t>
      </w:r>
    </w:p>
    <w:p w14:paraId="78C97B65" w14:textId="1D0DECA1" w:rsidR="00021531" w:rsidRPr="00B333B7" w:rsidRDefault="00021531" w:rsidP="009D556F">
      <w:pPr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Supreme Council for Environment (</w:t>
      </w:r>
      <w:r w:rsidR="007868DE" w:rsidRPr="00B333B7">
        <w:rPr>
          <w:rFonts w:cstheme="minorHAnsi"/>
          <w:sz w:val="24"/>
          <w:szCs w:val="24"/>
        </w:rPr>
        <w:t>Supreme Council for Environment</w:t>
      </w:r>
      <w:r w:rsidRPr="00B333B7">
        <w:rPr>
          <w:rFonts w:cstheme="minorHAnsi"/>
          <w:sz w:val="24"/>
          <w:szCs w:val="24"/>
        </w:rPr>
        <w:t>) Radiation Protection Regulations, Bahrain</w:t>
      </w:r>
    </w:p>
    <w:p w14:paraId="648FD976" w14:textId="77777777" w:rsidR="00021531" w:rsidRPr="00B333B7" w:rsidRDefault="00021531" w:rsidP="009D556F">
      <w:pPr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IAEA Safety Standards Series GSR Part 3</w:t>
      </w:r>
    </w:p>
    <w:p w14:paraId="7D9662CC" w14:textId="77777777" w:rsidR="00021531" w:rsidRPr="00B333B7" w:rsidRDefault="00021531" w:rsidP="009D556F">
      <w:pPr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ICRP Publication 103 (Radiological Protection)</w:t>
      </w:r>
    </w:p>
    <w:p w14:paraId="0D5931A3" w14:textId="77777777" w:rsidR="00021531" w:rsidRPr="00B333B7" w:rsidRDefault="00021531" w:rsidP="009D556F">
      <w:pPr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ISO 17025: Testing and Calibration Laboratories</w:t>
      </w:r>
    </w:p>
    <w:p w14:paraId="31D1E1B4" w14:textId="77777777" w:rsidR="00021531" w:rsidRPr="00B333B7" w:rsidRDefault="00021531" w:rsidP="009D556F">
      <w:pPr>
        <w:numPr>
          <w:ilvl w:val="0"/>
          <w:numId w:val="20"/>
        </w:numPr>
        <w:spacing w:after="0"/>
        <w:jc w:val="both"/>
        <w:rPr>
          <w:rFonts w:cstheme="minorHAnsi"/>
          <w:sz w:val="24"/>
          <w:szCs w:val="24"/>
        </w:rPr>
      </w:pPr>
      <w:r w:rsidRPr="00B333B7">
        <w:rPr>
          <w:rFonts w:cstheme="minorHAnsi"/>
          <w:sz w:val="24"/>
          <w:szCs w:val="24"/>
        </w:rPr>
        <w:t>UNITAR Bahrain National Profile for Chemical and Radiation Safety</w:t>
      </w:r>
    </w:p>
    <w:p w14:paraId="7D7F8A27" w14:textId="77777777" w:rsidR="00021531" w:rsidRPr="00B333B7" w:rsidRDefault="00021531" w:rsidP="00021531">
      <w:pPr>
        <w:jc w:val="both"/>
        <w:rPr>
          <w:rFonts w:cstheme="minorHAnsi"/>
          <w:sz w:val="24"/>
          <w:szCs w:val="24"/>
        </w:rPr>
      </w:pPr>
    </w:p>
    <w:sectPr w:rsidR="00021531" w:rsidRPr="00B333B7" w:rsidSect="00B333B7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8CD6" w14:textId="77777777" w:rsidR="00695C5F" w:rsidRDefault="00695C5F" w:rsidP="00813F05">
      <w:pPr>
        <w:spacing w:after="0" w:line="240" w:lineRule="auto"/>
      </w:pPr>
      <w:r>
        <w:separator/>
      </w:r>
    </w:p>
  </w:endnote>
  <w:endnote w:type="continuationSeparator" w:id="0">
    <w:p w14:paraId="09526149" w14:textId="77777777" w:rsidR="00695C5F" w:rsidRDefault="00695C5F" w:rsidP="0081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117D" w14:textId="09A7B8A6" w:rsidR="00813F05" w:rsidRDefault="00813F05" w:rsidP="00B333B7">
    <w:pPr>
      <w:pStyle w:val="Footer"/>
      <w:jc w:val="cen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BD7CAC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BD7CAC">
      <w:rPr>
        <w:rFonts w:cstheme="minorHAnsi"/>
        <w:noProof/>
        <w:sz w:val="20"/>
        <w:szCs w:val="20"/>
      </w:rPr>
      <w:t>6</w:t>
    </w:r>
    <w:r w:rsidRPr="00F22BD9">
      <w:rPr>
        <w:rFonts w:cstheme="minorHAnsi"/>
        <w:sz w:val="20"/>
        <w:szCs w:val="20"/>
      </w:rPr>
      <w:fldChar w:fldCharType="end"/>
    </w:r>
  </w:p>
  <w:p w14:paraId="3C89598D" w14:textId="7C3D4B91" w:rsidR="00B333B7" w:rsidRDefault="00B333B7" w:rsidP="00B333B7">
    <w:pPr>
      <w:pStyle w:val="Footer"/>
      <w:jc w:val="center"/>
    </w:pPr>
    <w:r w:rsidRPr="00F22BD9">
      <w:rPr>
        <w:rFonts w:cstheme="minorHAnsi"/>
        <w:sz w:val="20"/>
        <w:szCs w:val="20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F32A" w14:textId="77777777" w:rsidR="00695C5F" w:rsidRDefault="00695C5F" w:rsidP="00813F05">
      <w:pPr>
        <w:spacing w:after="0" w:line="240" w:lineRule="auto"/>
      </w:pPr>
      <w:r>
        <w:separator/>
      </w:r>
    </w:p>
  </w:footnote>
  <w:footnote w:type="continuationSeparator" w:id="0">
    <w:p w14:paraId="6338B948" w14:textId="77777777" w:rsidR="00695C5F" w:rsidRDefault="00695C5F" w:rsidP="0081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C6E5" w14:textId="0E0A9EF7" w:rsidR="00813F05" w:rsidRPr="00021531" w:rsidRDefault="00813F05" w:rsidP="00B333B7">
    <w:pPr>
      <w:pStyle w:val="Header"/>
      <w:ind w:right="-540"/>
      <w:jc w:val="right"/>
      <w:rPr>
        <w:rFonts w:ascii="Calibri" w:hAnsi="Calibri"/>
        <w:b/>
        <w:bCs/>
        <w:noProof/>
      </w:rPr>
    </w:pPr>
    <w:r>
      <w:rPr>
        <w:rFonts w:ascii="Calibri" w:hAnsi="Calibri"/>
        <w:b/>
        <w:bCs/>
        <w:noProof/>
      </w:rPr>
      <w:drawing>
        <wp:anchor distT="0" distB="0" distL="114300" distR="114300" simplePos="0" relativeHeight="251660288" behindDoc="1" locked="0" layoutInCell="1" allowOverlap="1" wp14:anchorId="48811650" wp14:editId="54B39002">
          <wp:simplePos x="0" y="0"/>
          <wp:positionH relativeFrom="column">
            <wp:posOffset>-19050</wp:posOffset>
          </wp:positionH>
          <wp:positionV relativeFrom="paragraph">
            <wp:posOffset>64770</wp:posOffset>
          </wp:positionV>
          <wp:extent cx="1206500" cy="355600"/>
          <wp:effectExtent l="0" t="0" r="0" b="6350"/>
          <wp:wrapTight wrapText="bothSides">
            <wp:wrapPolygon edited="0">
              <wp:start x="1023" y="0"/>
              <wp:lineTo x="0" y="4629"/>
              <wp:lineTo x="0" y="20829"/>
              <wp:lineTo x="21145" y="20829"/>
              <wp:lineTo x="21145" y="0"/>
              <wp:lineTo x="1023" y="0"/>
            </wp:wrapPolygon>
          </wp:wrapTight>
          <wp:docPr id="10256030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03063" name="Picture 1025603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1531">
      <w:rPr>
        <w:rFonts w:ascii="Calibri" w:hAnsi="Calibri"/>
        <w:b/>
        <w:bCs/>
        <w:noProof/>
      </w:rPr>
      <w:t>Radiation Safety, Security and Emergency Preparedness &amp; Response Plan</w:t>
    </w:r>
  </w:p>
  <w:p w14:paraId="44B55A02" w14:textId="4FABF2D1" w:rsidR="00813F05" w:rsidRPr="004B03CC" w:rsidRDefault="00813F05" w:rsidP="00B333B7">
    <w:pPr>
      <w:pStyle w:val="Header"/>
      <w:ind w:right="-540"/>
      <w:jc w:val="right"/>
      <w:rPr>
        <w:rFonts w:ascii="Calibri" w:hAnsi="Calibri"/>
        <w:b/>
        <w:bCs/>
        <w:noProof/>
      </w:rPr>
    </w:pPr>
    <w:r w:rsidRPr="00021531">
      <w:rPr>
        <w:rFonts w:ascii="Calibri" w:hAnsi="Calibri"/>
        <w:b/>
        <w:bCs/>
        <w:noProof/>
      </w:rPr>
      <w:t xml:space="preserve">For X-Ray Machines at SMSA Warehouse </w:t>
    </w:r>
  </w:p>
  <w:p w14:paraId="1BBC0084" w14:textId="5403B396" w:rsidR="00813F05" w:rsidRPr="00B333B7" w:rsidRDefault="00813F05" w:rsidP="00B333B7">
    <w:pPr>
      <w:pStyle w:val="Header"/>
      <w:ind w:right="-540"/>
      <w:jc w:val="right"/>
      <w:rPr>
        <w:rFonts w:ascii="Calibri" w:hAnsi="Calibri"/>
        <w:noProof/>
        <w:sz w:val="22"/>
        <w:szCs w:val="22"/>
      </w:rPr>
    </w:pPr>
    <w:bookmarkStart w:id="0" w:name="_Hlk168926521"/>
    <w:bookmarkStart w:id="1" w:name="_Hlk155595190"/>
    <w:r w:rsidRPr="00B333B7">
      <w:rPr>
        <w:rFonts w:ascii="Calibri" w:hAnsi="Calibri" w:cs="Calibri"/>
        <w:sz w:val="22"/>
        <w:szCs w:val="22"/>
      </w:rPr>
      <w:t>Owner/ Department</w:t>
    </w:r>
    <w:bookmarkStart w:id="2" w:name="_Hlk183352789"/>
    <w:r w:rsidRPr="00B333B7">
      <w:rPr>
        <w:rFonts w:ascii="Calibri" w:hAnsi="Calibri" w:cs="Calibri"/>
        <w:sz w:val="22"/>
        <w:szCs w:val="22"/>
      </w:rPr>
      <w:t>: IBU-</w:t>
    </w:r>
    <w:bookmarkEnd w:id="0"/>
    <w:bookmarkEnd w:id="1"/>
    <w:bookmarkEnd w:id="2"/>
    <w:r w:rsidRPr="00B333B7">
      <w:rPr>
        <w:rFonts w:ascii="Calibri" w:hAnsi="Calibri" w:cs="Calibri"/>
        <w:sz w:val="22"/>
        <w:szCs w:val="22"/>
      </w:rPr>
      <w:t xml:space="preserve">BAH, </w:t>
    </w:r>
    <w:r w:rsidR="00D80DD0" w:rsidRPr="00B333B7">
      <w:rPr>
        <w:rFonts w:ascii="Calibri" w:hAnsi="Calibri" w:cs="Calibri"/>
        <w:sz w:val="22"/>
        <w:szCs w:val="22"/>
      </w:rPr>
      <w:t>Corporate &amp; Management</w:t>
    </w:r>
  </w:p>
  <w:p w14:paraId="393EED8E" w14:textId="77777777" w:rsidR="00D80DD0" w:rsidRDefault="00D80D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669"/>
    <w:multiLevelType w:val="multilevel"/>
    <w:tmpl w:val="DF0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7049"/>
    <w:multiLevelType w:val="multilevel"/>
    <w:tmpl w:val="C2B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C0BBE"/>
    <w:multiLevelType w:val="multilevel"/>
    <w:tmpl w:val="6E4E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9279C"/>
    <w:multiLevelType w:val="multilevel"/>
    <w:tmpl w:val="805A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86010"/>
    <w:multiLevelType w:val="multilevel"/>
    <w:tmpl w:val="370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01EB7"/>
    <w:multiLevelType w:val="multilevel"/>
    <w:tmpl w:val="337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B2330"/>
    <w:multiLevelType w:val="multilevel"/>
    <w:tmpl w:val="2A3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E5A70"/>
    <w:multiLevelType w:val="multilevel"/>
    <w:tmpl w:val="AB66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D0874"/>
    <w:multiLevelType w:val="multilevel"/>
    <w:tmpl w:val="150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835C6"/>
    <w:multiLevelType w:val="hybridMultilevel"/>
    <w:tmpl w:val="43C68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BB5D73"/>
    <w:multiLevelType w:val="multilevel"/>
    <w:tmpl w:val="BA44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31C58"/>
    <w:multiLevelType w:val="multilevel"/>
    <w:tmpl w:val="28F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7557F"/>
    <w:multiLevelType w:val="multilevel"/>
    <w:tmpl w:val="74C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4431E"/>
    <w:multiLevelType w:val="multilevel"/>
    <w:tmpl w:val="293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F1056"/>
    <w:multiLevelType w:val="multilevel"/>
    <w:tmpl w:val="DB5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B1985"/>
    <w:multiLevelType w:val="multilevel"/>
    <w:tmpl w:val="60A0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F2C4A"/>
    <w:multiLevelType w:val="multilevel"/>
    <w:tmpl w:val="9F2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586E"/>
    <w:multiLevelType w:val="multilevel"/>
    <w:tmpl w:val="5A0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F0E14"/>
    <w:multiLevelType w:val="multilevel"/>
    <w:tmpl w:val="8EE0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05CBB"/>
    <w:multiLevelType w:val="multilevel"/>
    <w:tmpl w:val="5A14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C6308"/>
    <w:multiLevelType w:val="multilevel"/>
    <w:tmpl w:val="DF46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473F47"/>
    <w:multiLevelType w:val="multilevel"/>
    <w:tmpl w:val="A84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B19DF"/>
    <w:multiLevelType w:val="multilevel"/>
    <w:tmpl w:val="632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81D45"/>
    <w:multiLevelType w:val="multilevel"/>
    <w:tmpl w:val="2A8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A2DDD"/>
    <w:multiLevelType w:val="multilevel"/>
    <w:tmpl w:val="6CF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25304">
    <w:abstractNumId w:val="19"/>
  </w:num>
  <w:num w:numId="2" w16cid:durableId="770736039">
    <w:abstractNumId w:val="10"/>
  </w:num>
  <w:num w:numId="3" w16cid:durableId="688214268">
    <w:abstractNumId w:val="16"/>
  </w:num>
  <w:num w:numId="4" w16cid:durableId="2019694442">
    <w:abstractNumId w:val="17"/>
  </w:num>
  <w:num w:numId="5" w16cid:durableId="1674340310">
    <w:abstractNumId w:val="15"/>
  </w:num>
  <w:num w:numId="6" w16cid:durableId="1343240394">
    <w:abstractNumId w:val="7"/>
  </w:num>
  <w:num w:numId="7" w16cid:durableId="1446847938">
    <w:abstractNumId w:val="0"/>
  </w:num>
  <w:num w:numId="8" w16cid:durableId="1956786587">
    <w:abstractNumId w:val="3"/>
  </w:num>
  <w:num w:numId="9" w16cid:durableId="1335568534">
    <w:abstractNumId w:val="12"/>
  </w:num>
  <w:num w:numId="10" w16cid:durableId="241447759">
    <w:abstractNumId w:val="23"/>
  </w:num>
  <w:num w:numId="11" w16cid:durableId="1783643880">
    <w:abstractNumId w:val="18"/>
  </w:num>
  <w:num w:numId="12" w16cid:durableId="701787931">
    <w:abstractNumId w:val="21"/>
  </w:num>
  <w:num w:numId="13" w16cid:durableId="956136923">
    <w:abstractNumId w:val="14"/>
  </w:num>
  <w:num w:numId="14" w16cid:durableId="665011928">
    <w:abstractNumId w:val="24"/>
  </w:num>
  <w:num w:numId="15" w16cid:durableId="315643607">
    <w:abstractNumId w:val="13"/>
  </w:num>
  <w:num w:numId="16" w16cid:durableId="1039665278">
    <w:abstractNumId w:val="22"/>
  </w:num>
  <w:num w:numId="17" w16cid:durableId="555626814">
    <w:abstractNumId w:val="2"/>
  </w:num>
  <w:num w:numId="18" w16cid:durableId="2109545966">
    <w:abstractNumId w:val="5"/>
  </w:num>
  <w:num w:numId="19" w16cid:durableId="23287863">
    <w:abstractNumId w:val="20"/>
  </w:num>
  <w:num w:numId="20" w16cid:durableId="537468793">
    <w:abstractNumId w:val="11"/>
  </w:num>
  <w:num w:numId="21" w16cid:durableId="973026373">
    <w:abstractNumId w:val="1"/>
  </w:num>
  <w:num w:numId="22" w16cid:durableId="572353560">
    <w:abstractNumId w:val="8"/>
  </w:num>
  <w:num w:numId="23" w16cid:durableId="1479764105">
    <w:abstractNumId w:val="4"/>
  </w:num>
  <w:num w:numId="24" w16cid:durableId="619187755">
    <w:abstractNumId w:val="6"/>
  </w:num>
  <w:num w:numId="25" w16cid:durableId="1533228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31"/>
    <w:rsid w:val="00021531"/>
    <w:rsid w:val="00112AAD"/>
    <w:rsid w:val="004B03CC"/>
    <w:rsid w:val="0052340C"/>
    <w:rsid w:val="005F74AB"/>
    <w:rsid w:val="00695C5F"/>
    <w:rsid w:val="006A4C1A"/>
    <w:rsid w:val="006C0156"/>
    <w:rsid w:val="007868DE"/>
    <w:rsid w:val="007971BD"/>
    <w:rsid w:val="00813F05"/>
    <w:rsid w:val="009327FC"/>
    <w:rsid w:val="009D556F"/>
    <w:rsid w:val="00AA04E0"/>
    <w:rsid w:val="00B333B7"/>
    <w:rsid w:val="00BB633A"/>
    <w:rsid w:val="00BD7CAC"/>
    <w:rsid w:val="00CD287F"/>
    <w:rsid w:val="00D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4C750"/>
  <w15:docId w15:val="{3963B8D4-BEFD-4D73-8850-3B47756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1B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C01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C0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Nifraz M</dc:creator>
  <cp:keywords/>
  <dc:description/>
  <cp:lastModifiedBy>Edwin Ramos</cp:lastModifiedBy>
  <cp:revision>2</cp:revision>
  <dcterms:created xsi:type="dcterms:W3CDTF">2025-09-18T10:15:00Z</dcterms:created>
  <dcterms:modified xsi:type="dcterms:W3CDTF">2025-09-18T10:15:00Z</dcterms:modified>
</cp:coreProperties>
</file>