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375"/>
      </w:tblGrid>
      <w:tr w:rsidR="00C84408" w:rsidRPr="0048580A" w14:paraId="23C955ED" w14:textId="77777777" w:rsidTr="00E90262">
        <w:trPr>
          <w:jc w:val="center"/>
        </w:trPr>
        <w:tc>
          <w:tcPr>
            <w:tcW w:w="1980" w:type="dxa"/>
          </w:tcPr>
          <w:p w14:paraId="466AD258" w14:textId="77777777" w:rsidR="00C84408" w:rsidRPr="0048580A" w:rsidRDefault="00C84408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8580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Brief</w:t>
            </w:r>
          </w:p>
        </w:tc>
        <w:tc>
          <w:tcPr>
            <w:tcW w:w="8375" w:type="dxa"/>
          </w:tcPr>
          <w:p w14:paraId="0B1445E0" w14:textId="77777777" w:rsidR="009A3027" w:rsidRPr="0048580A" w:rsidRDefault="00C41BC3" w:rsidP="0048580A">
            <w:pPr>
              <w:spacing w:before="120" w:after="120"/>
              <w:ind w:left="215" w:right="333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580A">
              <w:rPr>
                <w:rFonts w:asciiTheme="minorHAnsi" w:hAnsiTheme="minorHAnsi" w:cs="Calibri"/>
                <w:sz w:val="22"/>
                <w:szCs w:val="22"/>
              </w:rPr>
              <w:t xml:space="preserve">Communication between dispatchers &amp; couriers is vital for the smooth functioning of operations, it is mandatory that a clear communication is developed between both the parties to ensure customers are not affected. </w:t>
            </w:r>
          </w:p>
        </w:tc>
      </w:tr>
      <w:tr w:rsidR="00C84408" w:rsidRPr="0048580A" w14:paraId="7824B2C8" w14:textId="77777777" w:rsidTr="00E90262">
        <w:trPr>
          <w:jc w:val="center"/>
        </w:trPr>
        <w:tc>
          <w:tcPr>
            <w:tcW w:w="1980" w:type="dxa"/>
          </w:tcPr>
          <w:p w14:paraId="7DF23DBC" w14:textId="77777777" w:rsidR="00C84408" w:rsidRPr="0048580A" w:rsidRDefault="00C84408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8580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375" w:type="dxa"/>
          </w:tcPr>
          <w:p w14:paraId="513750EE" w14:textId="77777777" w:rsidR="00C41BC3" w:rsidRPr="0048580A" w:rsidRDefault="00C41BC3" w:rsidP="0048580A">
            <w:pPr>
              <w:spacing w:before="120" w:after="120"/>
              <w:ind w:left="215" w:right="333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580A">
              <w:rPr>
                <w:rFonts w:asciiTheme="minorHAnsi" w:hAnsiTheme="minorHAnsi" w:cs="Calibri"/>
                <w:sz w:val="22"/>
                <w:szCs w:val="22"/>
              </w:rPr>
              <w:t xml:space="preserve">To facilitate and ensure couriers follow appropriate instructions given by the dispatchers and adhere to smooth communication practice. </w:t>
            </w:r>
          </w:p>
          <w:p w14:paraId="52288936" w14:textId="77777777" w:rsidR="009A3027" w:rsidRPr="0048580A" w:rsidRDefault="00C41BC3" w:rsidP="002545D3">
            <w:pPr>
              <w:spacing w:before="120" w:after="120"/>
              <w:ind w:left="215" w:right="333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8580A">
              <w:rPr>
                <w:rFonts w:asciiTheme="minorHAnsi" w:hAnsiTheme="minorHAnsi" w:cs="Calibri"/>
                <w:sz w:val="22"/>
                <w:szCs w:val="22"/>
              </w:rPr>
              <w:t>This procedure is specifically developed to enhance the communication between dispatchers and couriers in Operations</w:t>
            </w:r>
            <w:r w:rsidR="007F7DC1" w:rsidRPr="0048580A">
              <w:rPr>
                <w:rFonts w:asciiTheme="minorHAnsi" w:hAnsiTheme="minorHAnsi" w:cs="Calibri"/>
                <w:sz w:val="22"/>
                <w:szCs w:val="22"/>
              </w:rPr>
              <w:t xml:space="preserve"> in </w:t>
            </w:r>
            <w:r w:rsidR="002545D3">
              <w:rPr>
                <w:rFonts w:asciiTheme="minorHAnsi" w:hAnsiTheme="minorHAnsi" w:cs="Calibri"/>
                <w:sz w:val="22"/>
                <w:szCs w:val="22"/>
              </w:rPr>
              <w:t>Bahrain</w:t>
            </w:r>
            <w:r w:rsidR="007F7DC1" w:rsidRPr="0048580A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2928E9" w:rsidRPr="0048580A" w14:paraId="26538807" w14:textId="77777777" w:rsidTr="00E90262">
        <w:trPr>
          <w:jc w:val="center"/>
        </w:trPr>
        <w:tc>
          <w:tcPr>
            <w:tcW w:w="1980" w:type="dxa"/>
          </w:tcPr>
          <w:p w14:paraId="32EB9E84" w14:textId="77777777" w:rsidR="002928E9" w:rsidRPr="0048580A" w:rsidRDefault="003217CA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8580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8375" w:type="dxa"/>
          </w:tcPr>
          <w:p w14:paraId="142CEB2C" w14:textId="77777777" w:rsidR="002928E9" w:rsidRPr="0048580A" w:rsidRDefault="00C41BC3" w:rsidP="0048580A">
            <w:pPr>
              <w:spacing w:before="120" w:after="120"/>
              <w:ind w:left="215" w:right="333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Dispatchers &amp; Couriers responsible to communicate clearly for all the issues of pickups, reverse pickups, deliveries and other instructions as per the operations requirement. </w:t>
            </w:r>
          </w:p>
          <w:p w14:paraId="1A46B9D3" w14:textId="77777777" w:rsidR="009A3027" w:rsidRPr="0048580A" w:rsidRDefault="00C41BC3" w:rsidP="0048580A">
            <w:pPr>
              <w:spacing w:before="120" w:after="120"/>
              <w:ind w:left="215" w:right="333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bCs w:val="0"/>
                <w:sz w:val="22"/>
                <w:szCs w:val="22"/>
              </w:rPr>
              <w:t>Supervisor</w:t>
            </w:r>
            <w:r w:rsidR="0060514B" w:rsidRPr="0048580A">
              <w:rPr>
                <w:rStyle w:val="Strong"/>
                <w:rFonts w:asciiTheme="minorHAnsi" w:hAnsiTheme="minorHAnsi" w:cs="Calibri"/>
                <w:b w:val="0"/>
                <w:bCs w:val="0"/>
                <w:sz w:val="22"/>
                <w:szCs w:val="22"/>
              </w:rPr>
              <w:t>s are responsible to ensure the</w:t>
            </w:r>
            <w:r w:rsidRPr="0048580A">
              <w:rPr>
                <w:rStyle w:val="Strong"/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 effectiveness of the instructions. </w:t>
            </w:r>
          </w:p>
        </w:tc>
      </w:tr>
      <w:tr w:rsidR="00B95D2A" w:rsidRPr="0048580A" w14:paraId="2D4E8D8B" w14:textId="77777777" w:rsidTr="00E90262">
        <w:trPr>
          <w:jc w:val="center"/>
        </w:trPr>
        <w:tc>
          <w:tcPr>
            <w:tcW w:w="1980" w:type="dxa"/>
          </w:tcPr>
          <w:p w14:paraId="6D964D1B" w14:textId="77777777" w:rsidR="00B95D2A" w:rsidRPr="0048580A" w:rsidRDefault="00B95D2A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8580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Guidelines</w:t>
            </w:r>
          </w:p>
          <w:p w14:paraId="3A18F979" w14:textId="77777777" w:rsidR="004714E2" w:rsidRPr="0048580A" w:rsidRDefault="004714E2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B2769C0" w14:textId="77777777" w:rsidR="004714E2" w:rsidRPr="0048580A" w:rsidRDefault="004714E2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210DFF0" w14:textId="77777777" w:rsidR="004714E2" w:rsidRPr="0048580A" w:rsidRDefault="004714E2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3C6BD753" w14:textId="77777777" w:rsidR="004714E2" w:rsidRPr="0048580A" w:rsidRDefault="004714E2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0305C87" w14:textId="77777777" w:rsidR="004714E2" w:rsidRPr="0048580A" w:rsidRDefault="004714E2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A5A6490" w14:textId="77777777" w:rsidR="005C390D" w:rsidRPr="0048580A" w:rsidRDefault="005C390D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8D0A0A8" w14:textId="77777777" w:rsidR="004714E2" w:rsidRPr="0048580A" w:rsidRDefault="004714E2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6B03DA6" w14:textId="77777777" w:rsidR="009A3027" w:rsidRPr="0048580A" w:rsidRDefault="009A3027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239E35E" w14:textId="77777777" w:rsidR="009A3027" w:rsidRPr="0048580A" w:rsidRDefault="009A3027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D473BA" w14:textId="77777777" w:rsidR="009A3027" w:rsidRPr="0048580A" w:rsidRDefault="009A3027" w:rsidP="0048580A">
            <w:pPr>
              <w:spacing w:before="12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8375" w:type="dxa"/>
          </w:tcPr>
          <w:p w14:paraId="1E687399" w14:textId="0DB7F8F1" w:rsidR="00C41BC3" w:rsidRPr="00C215CD" w:rsidRDefault="00E90262" w:rsidP="002545D3">
            <w:pPr>
              <w:spacing w:before="120" w:after="120"/>
              <w:ind w:left="215" w:right="333"/>
              <w:jc w:val="both"/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>I</w:t>
            </w:r>
            <w:r w:rsidR="002545D3"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>n this document</w:t>
            </w:r>
            <w:r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>,</w:t>
            </w:r>
            <w:r>
              <w:rPr>
                <w:rStyle w:val="Strong"/>
                <w:rFonts w:asciiTheme="minorHAnsi" w:hAnsiTheme="minorHAnsi" w:cs="Calibri"/>
                <w:sz w:val="22"/>
                <w:szCs w:val="22"/>
              </w:rPr>
              <w:t xml:space="preserve"> “</w:t>
            </w:r>
            <w:r w:rsidRPr="00C215CD"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>YOU</w:t>
            </w:r>
            <w:r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>”</w:t>
            </w:r>
            <w:r w:rsidRPr="00C215CD"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 xml:space="preserve"> &amp; </w:t>
            </w:r>
            <w:r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>“</w:t>
            </w:r>
            <w:r w:rsidRPr="00C215CD"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>YOUR</w:t>
            </w:r>
            <w:r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>”</w:t>
            </w:r>
            <w:r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 xml:space="preserve"> </w:t>
            </w:r>
            <w:r w:rsidR="002545D3"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 xml:space="preserve">is </w:t>
            </w:r>
            <w:r w:rsidR="00DE3F5B" w:rsidRPr="00C215CD"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>referred to as the</w:t>
            </w:r>
            <w:r w:rsidR="00C215CD" w:rsidRPr="00C215CD">
              <w:rPr>
                <w:rStyle w:val="Strong"/>
                <w:rFonts w:asciiTheme="minorHAnsi" w:hAnsiTheme="minorHAnsi" w:cs="Calibri"/>
                <w:bCs w:val="0"/>
                <w:sz w:val="22"/>
                <w:szCs w:val="22"/>
              </w:rPr>
              <w:t xml:space="preserve"> Courier.</w:t>
            </w:r>
          </w:p>
          <w:p w14:paraId="282783EF" w14:textId="77777777" w:rsidR="00C41BC3" w:rsidRPr="0048580A" w:rsidRDefault="00C41BC3" w:rsidP="0048580A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When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are going to pick up a package from customer, that time if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are facing any problems (package / CI not ready, shipper not available or heavy packages) same time inform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the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Dispatcher.</w:t>
            </w:r>
          </w:p>
          <w:p w14:paraId="0EFD2904" w14:textId="77777777" w:rsidR="00C41BC3" w:rsidRPr="0048580A" w:rsidRDefault="00C43B84" w:rsidP="002545D3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Call Back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: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didn't receive any call from dispatcher within </w:t>
            </w:r>
            <w:r w:rsidR="002545D3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1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</w:t>
            </w:r>
            <w:r w:rsidR="002545D3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hour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in the morning shift and 15 minutes in the afternoon shift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have to check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YOUR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mobile and call Dispatcher immediately.</w:t>
            </w:r>
          </w:p>
          <w:p w14:paraId="211B32FB" w14:textId="4E0A6E83" w:rsidR="00C41BC3" w:rsidRPr="0048580A" w:rsidRDefault="00C41BC3" w:rsidP="0048580A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In the afternoon before going to the route call Dispatcher and get the full </w:t>
            </w:r>
            <w:r w:rsidR="00F036B5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pick-up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information. Don't wait for the call from Dispatcher.</w:t>
            </w:r>
          </w:p>
          <w:p w14:paraId="2B7F8753" w14:textId="77777777" w:rsidR="00C41BC3" w:rsidRPr="0048580A" w:rsidRDefault="00C41BC3" w:rsidP="0048580A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Make sure to accept pups from Dispatcher until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YOUR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area pup cut off time.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Ensure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to get the new cut off time for pup in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YOUR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area from Dispatcher.</w:t>
            </w:r>
          </w:p>
          <w:p w14:paraId="56774136" w14:textId="77777777" w:rsidR="00C41BC3" w:rsidRPr="0048580A" w:rsidRDefault="00C41BC3" w:rsidP="0048580A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Before sign off from the route give final call to Dispatcher and confirm all </w:t>
            </w:r>
            <w:r w:rsidR="00DE3F5B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pickups are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completed. </w:t>
            </w:r>
          </w:p>
          <w:p w14:paraId="380D8817" w14:textId="77777777" w:rsidR="00C41BC3" w:rsidRPr="0048580A" w:rsidRDefault="00C37B00" w:rsidP="00C215CD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Regular pups: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have to check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regular pickups on daily basis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and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have to mention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attempt time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in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YOUR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pup manifest. </w:t>
            </w:r>
            <w:r w:rsidR="00C215CD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I</w:t>
            </w:r>
            <w:r w:rsidR="00C215CD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f there is no package from regular customer </w:t>
            </w:r>
            <w:r w:rsidR="00C215CD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c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ontinuously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for three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consecutive days</w:t>
            </w:r>
            <w:r w:rsidR="00C215CD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,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inform dispatcher.</w:t>
            </w:r>
          </w:p>
          <w:p w14:paraId="7A2A9B2A" w14:textId="77777777" w:rsidR="00C43B84" w:rsidRPr="0048580A" w:rsidRDefault="00C41BC3" w:rsidP="002545D3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Always carry at least </w:t>
            </w:r>
            <w:r w:rsidR="002545D3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10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pieces blank airway bills when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are going for a p</w:t>
            </w:r>
            <w:r w:rsidR="00C215CD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ick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up.</w:t>
            </w:r>
          </w:p>
          <w:p w14:paraId="4F8F9F08" w14:textId="77777777" w:rsidR="00C41BC3" w:rsidRPr="0048580A" w:rsidRDefault="00C41BC3" w:rsidP="0048580A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In some occasions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if the package is not ready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, tell to </w:t>
            </w:r>
            <w:r w:rsidR="00DE3F5B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YOUR customer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that "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I will wait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for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5 minutes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" and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have to wait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5 minutes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,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again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if it is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still not ready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,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inform dispatcher and </w:t>
            </w:r>
            <w:r w:rsidR="00DE3F5B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 can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leave.</w:t>
            </w:r>
          </w:p>
          <w:p w14:paraId="53D4CAA6" w14:textId="77777777" w:rsidR="00C37B00" w:rsidRPr="0048580A" w:rsidRDefault="00C37B00" w:rsidP="0048580A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Don't refuse light weight packages (&lt;=32kg per piece)</w:t>
            </w:r>
            <w:r w:rsidR="00C41BC3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. </w:t>
            </w:r>
          </w:p>
          <w:p w14:paraId="256F2CDB" w14:textId="77777777" w:rsidR="00C41BC3" w:rsidRPr="0048580A" w:rsidRDefault="00C41BC3" w:rsidP="0048580A">
            <w:pPr>
              <w:numPr>
                <w:ilvl w:val="0"/>
                <w:numId w:val="22"/>
              </w:num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When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are going to pick up a package, that time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if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found any heavy package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,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same time confirm with dispatcher and tell shipper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to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call again and make re-booking.</w:t>
            </w:r>
          </w:p>
          <w:p w14:paraId="35188C46" w14:textId="77777777" w:rsidR="00C41BC3" w:rsidRPr="0048580A" w:rsidRDefault="00C41BC3" w:rsidP="0048580A">
            <w:pPr>
              <w:spacing w:before="12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  <w:rtl/>
              </w:rPr>
            </w:pPr>
          </w:p>
          <w:p w14:paraId="09CA348C" w14:textId="2A62A760" w:rsidR="00A455F1" w:rsidRPr="0048580A" w:rsidRDefault="00C41BC3" w:rsidP="00C82F1E">
            <w:pPr>
              <w:numPr>
                <w:ilvl w:val="0"/>
                <w:numId w:val="22"/>
              </w:numPr>
              <w:spacing w:before="360" w:after="120"/>
              <w:ind w:left="485" w:right="333" w:hanging="270"/>
              <w:jc w:val="both"/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</w:pP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lastRenderedPageBreak/>
              <w:t>RPD / RPI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: 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When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are receiving any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RPD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or 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RPI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pick up from dispatcher get </w:t>
            </w:r>
            <w:r w:rsidR="00F036B5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the airway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</w:t>
            </w:r>
            <w:r w:rsidR="00F036B5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bill from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dispa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tcher with complete information and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If </w:t>
            </w:r>
            <w:r w:rsidR="00C43B84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YOU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receive airway bill from Shipper re-confirm with dispatcher</w:t>
            </w:r>
            <w:r w:rsidR="00C37B00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</w:t>
            </w:r>
            <w:r w:rsidR="00F036B5"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that all</w:t>
            </w:r>
            <w:r w:rsidRPr="0048580A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 xml:space="preserve"> information is </w:t>
            </w:r>
            <w:r w:rsidR="00C215CD">
              <w:rPr>
                <w:rStyle w:val="Strong"/>
                <w:rFonts w:asciiTheme="minorHAnsi" w:hAnsiTheme="minorHAnsi" w:cs="Calibri"/>
                <w:b w:val="0"/>
                <w:sz w:val="22"/>
                <w:szCs w:val="22"/>
              </w:rPr>
              <w:t>correct.</w:t>
            </w:r>
          </w:p>
        </w:tc>
      </w:tr>
    </w:tbl>
    <w:p w14:paraId="3998C731" w14:textId="77777777" w:rsidR="00AF2B48" w:rsidRPr="008B3EE7" w:rsidRDefault="00AF2B48">
      <w:pPr>
        <w:rPr>
          <w:rFonts w:asciiTheme="minorHAnsi" w:hAnsiTheme="minorHAnsi" w:cs="Calibri"/>
        </w:rPr>
      </w:pPr>
    </w:p>
    <w:sectPr w:rsidR="00AF2B48" w:rsidRPr="008B3EE7" w:rsidSect="00063D13">
      <w:headerReference w:type="default" r:id="rId7"/>
      <w:footerReference w:type="default" r:id="rId8"/>
      <w:pgSz w:w="12240" w:h="15840" w:code="1"/>
      <w:pgMar w:top="63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209A" w14:textId="77777777" w:rsidR="00953825" w:rsidRDefault="00953825">
      <w:r>
        <w:separator/>
      </w:r>
    </w:p>
  </w:endnote>
  <w:endnote w:type="continuationSeparator" w:id="0">
    <w:p w14:paraId="4799F0BB" w14:textId="77777777" w:rsidR="00953825" w:rsidRDefault="0095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7A9F" w14:textId="1FA1654D" w:rsidR="001A6D4D" w:rsidRPr="008B3EE7" w:rsidRDefault="008B3EE7" w:rsidP="00C82F1E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694D88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694D88" w:rsidRPr="00920069">
      <w:rPr>
        <w:rFonts w:ascii="Calibri" w:hAnsi="Calibri"/>
        <w:sz w:val="22"/>
        <w:szCs w:val="22"/>
      </w:rPr>
      <w:fldChar w:fldCharType="separate"/>
    </w:r>
    <w:r w:rsidR="002545D3">
      <w:rPr>
        <w:rFonts w:ascii="Calibri" w:hAnsi="Calibri"/>
        <w:noProof/>
        <w:sz w:val="22"/>
        <w:szCs w:val="22"/>
      </w:rPr>
      <w:t>1</w:t>
    </w:r>
    <w:r w:rsidR="00694D88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694D88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694D88" w:rsidRPr="00920069">
      <w:rPr>
        <w:rFonts w:ascii="Calibri" w:hAnsi="Calibri"/>
        <w:sz w:val="22"/>
        <w:szCs w:val="22"/>
      </w:rPr>
      <w:fldChar w:fldCharType="separate"/>
    </w:r>
    <w:r w:rsidR="002545D3">
      <w:rPr>
        <w:rFonts w:ascii="Calibri" w:hAnsi="Calibri"/>
        <w:noProof/>
        <w:sz w:val="22"/>
        <w:szCs w:val="22"/>
      </w:rPr>
      <w:t>2</w:t>
    </w:r>
    <w:r w:rsidR="00694D88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B728" w14:textId="77777777" w:rsidR="00953825" w:rsidRDefault="00953825">
      <w:r>
        <w:separator/>
      </w:r>
    </w:p>
  </w:footnote>
  <w:footnote w:type="continuationSeparator" w:id="0">
    <w:p w14:paraId="695097A3" w14:textId="77777777" w:rsidR="00953825" w:rsidRDefault="0095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42" w:type="dxa"/>
      <w:tblInd w:w="-432" w:type="dxa"/>
      <w:tblLook w:val="04A0" w:firstRow="1" w:lastRow="0" w:firstColumn="1" w:lastColumn="0" w:noHBand="0" w:noVBand="1"/>
    </w:tblPr>
    <w:tblGrid>
      <w:gridCol w:w="3008"/>
      <w:gridCol w:w="8134"/>
    </w:tblGrid>
    <w:tr w:rsidR="009D22E6" w14:paraId="0BD4479A" w14:textId="77777777" w:rsidTr="00E90262">
      <w:trPr>
        <w:trHeight w:val="895"/>
      </w:trPr>
      <w:tc>
        <w:tcPr>
          <w:tcW w:w="3008" w:type="dxa"/>
          <w:hideMark/>
        </w:tcPr>
        <w:p w14:paraId="12AA2EFD" w14:textId="4FCAF1F5" w:rsidR="009D22E6" w:rsidRDefault="00453F74" w:rsidP="009D22E6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B13273" wp14:editId="47F778B0">
                <wp:simplePos x="0" y="0"/>
                <wp:positionH relativeFrom="column">
                  <wp:posOffset>208280</wp:posOffset>
                </wp:positionH>
                <wp:positionV relativeFrom="paragraph">
                  <wp:posOffset>67310</wp:posOffset>
                </wp:positionV>
                <wp:extent cx="1197864" cy="292608"/>
                <wp:effectExtent l="0" t="0" r="0" b="0"/>
                <wp:wrapSquare wrapText="bothSides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34" w:type="dxa"/>
          <w:hideMark/>
        </w:tcPr>
        <w:p w14:paraId="0E8CDDB3" w14:textId="6CE07787" w:rsidR="009D22E6" w:rsidRDefault="009D22E6" w:rsidP="00E90262">
          <w:pPr>
            <w:pStyle w:val="Header"/>
            <w:ind w:right="250"/>
            <w:jc w:val="right"/>
            <w:rPr>
              <w:rFonts w:asciiTheme="minorHAnsi" w:hAnsiTheme="minorHAnsi" w:cs="Calibri"/>
              <w:b/>
              <w:bCs/>
              <w:sz w:val="32"/>
              <w:szCs w:val="32"/>
            </w:rPr>
          </w:pPr>
          <w:r>
            <w:rPr>
              <w:rFonts w:asciiTheme="minorHAnsi" w:hAnsiTheme="minorHAnsi" w:cs="Calibri"/>
              <w:b/>
              <w:bCs/>
              <w:sz w:val="32"/>
              <w:szCs w:val="32"/>
            </w:rPr>
            <w:t>Courier - Dispatcher Communication Work Instructions</w:t>
          </w:r>
        </w:p>
        <w:p w14:paraId="2026CEB2" w14:textId="3C227837" w:rsidR="009D22E6" w:rsidRPr="009D22E6" w:rsidRDefault="009D22E6" w:rsidP="00E90262">
          <w:pPr>
            <w:ind w:right="250"/>
            <w:jc w:val="right"/>
            <w:rPr>
              <w:rFonts w:asciiTheme="minorHAnsi" w:hAnsiTheme="minorHAnsi" w:cstheme="minorHAnsi"/>
              <w:noProof/>
            </w:rPr>
          </w:pPr>
          <w:r w:rsidRPr="009D22E6">
            <w:rPr>
              <w:rFonts w:asciiTheme="minorHAnsi" w:hAnsiTheme="minorHAnsi" w:cstheme="minorHAnsi"/>
              <w:noProof/>
            </w:rPr>
            <w:t>Owner/ Department: IBU-BAH, Operations</w:t>
          </w:r>
        </w:p>
      </w:tc>
    </w:tr>
  </w:tbl>
  <w:p w14:paraId="41743CD9" w14:textId="77777777" w:rsidR="000D101D" w:rsidRPr="009D22E6" w:rsidRDefault="000D101D" w:rsidP="009D2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0E6"/>
    <w:multiLevelType w:val="hybridMultilevel"/>
    <w:tmpl w:val="E00E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E25"/>
    <w:multiLevelType w:val="hybridMultilevel"/>
    <w:tmpl w:val="275C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704A7F"/>
    <w:multiLevelType w:val="hybridMultilevel"/>
    <w:tmpl w:val="66984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2C57ED"/>
    <w:multiLevelType w:val="hybridMultilevel"/>
    <w:tmpl w:val="C09CB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FFB24B1"/>
    <w:multiLevelType w:val="hybridMultilevel"/>
    <w:tmpl w:val="AAD0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40AE"/>
    <w:multiLevelType w:val="hybridMultilevel"/>
    <w:tmpl w:val="939E7F44"/>
    <w:lvl w:ilvl="0" w:tplc="41A82C0E">
      <w:start w:val="1"/>
      <w:numFmt w:val="lowerRoman"/>
      <w:lvlText w:val="%1)"/>
      <w:lvlJc w:val="left"/>
      <w:pPr>
        <w:ind w:left="360" w:hanging="7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4" w15:restartNumberingAfterBreak="0">
    <w:nsid w:val="44D97243"/>
    <w:multiLevelType w:val="hybridMultilevel"/>
    <w:tmpl w:val="9368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42"/>
    <w:multiLevelType w:val="hybridMultilevel"/>
    <w:tmpl w:val="2D28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2CC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3642F"/>
    <w:multiLevelType w:val="hybridMultilevel"/>
    <w:tmpl w:val="5C7A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13646"/>
    <w:multiLevelType w:val="hybridMultilevel"/>
    <w:tmpl w:val="BC0A8624"/>
    <w:lvl w:ilvl="0" w:tplc="B89CCE42">
      <w:start w:val="4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42F34E1"/>
    <w:multiLevelType w:val="hybridMultilevel"/>
    <w:tmpl w:val="A3B01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42B5A"/>
    <w:multiLevelType w:val="hybridMultilevel"/>
    <w:tmpl w:val="A7F4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83975"/>
    <w:multiLevelType w:val="hybridMultilevel"/>
    <w:tmpl w:val="B5227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4373452">
    <w:abstractNumId w:val="12"/>
  </w:num>
  <w:num w:numId="2" w16cid:durableId="1952123390">
    <w:abstractNumId w:val="15"/>
  </w:num>
  <w:num w:numId="3" w16cid:durableId="836968142">
    <w:abstractNumId w:val="7"/>
  </w:num>
  <w:num w:numId="4" w16cid:durableId="1081953160">
    <w:abstractNumId w:val="2"/>
  </w:num>
  <w:num w:numId="5" w16cid:durableId="1267075000">
    <w:abstractNumId w:val="6"/>
  </w:num>
  <w:num w:numId="6" w16cid:durableId="791828659">
    <w:abstractNumId w:val="11"/>
  </w:num>
  <w:num w:numId="7" w16cid:durableId="164127866">
    <w:abstractNumId w:val="5"/>
  </w:num>
  <w:num w:numId="8" w16cid:durableId="369653963">
    <w:abstractNumId w:val="18"/>
  </w:num>
  <w:num w:numId="9" w16cid:durableId="527764903">
    <w:abstractNumId w:val="21"/>
  </w:num>
  <w:num w:numId="10" w16cid:durableId="63383422">
    <w:abstractNumId w:val="19"/>
  </w:num>
  <w:num w:numId="11" w16cid:durableId="1262108306">
    <w:abstractNumId w:val="16"/>
  </w:num>
  <w:num w:numId="12" w16cid:durableId="1567299185">
    <w:abstractNumId w:val="1"/>
  </w:num>
  <w:num w:numId="13" w16cid:durableId="1126849788">
    <w:abstractNumId w:val="17"/>
  </w:num>
  <w:num w:numId="14" w16cid:durableId="1989626305">
    <w:abstractNumId w:val="20"/>
  </w:num>
  <w:num w:numId="15" w16cid:durableId="534196956">
    <w:abstractNumId w:val="14"/>
  </w:num>
  <w:num w:numId="16" w16cid:durableId="301887880">
    <w:abstractNumId w:val="13"/>
  </w:num>
  <w:num w:numId="17" w16cid:durableId="200023649">
    <w:abstractNumId w:val="8"/>
  </w:num>
  <w:num w:numId="18" w16cid:durableId="1275678004">
    <w:abstractNumId w:val="3"/>
  </w:num>
  <w:num w:numId="19" w16cid:durableId="873273181">
    <w:abstractNumId w:val="9"/>
  </w:num>
  <w:num w:numId="20" w16cid:durableId="16276997">
    <w:abstractNumId w:val="4"/>
  </w:num>
  <w:num w:numId="21" w16cid:durableId="1697850449">
    <w:abstractNumId w:val="10"/>
  </w:num>
  <w:num w:numId="22" w16cid:durableId="15353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764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0D7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D1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C3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1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4D5C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0903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A6D4D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6F0"/>
    <w:rsid w:val="001C1A56"/>
    <w:rsid w:val="001C2150"/>
    <w:rsid w:val="001C227E"/>
    <w:rsid w:val="001C23C2"/>
    <w:rsid w:val="001C2585"/>
    <w:rsid w:val="001C27EA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4B0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4D23"/>
    <w:rsid w:val="001E5432"/>
    <w:rsid w:val="001E57BC"/>
    <w:rsid w:val="001E5978"/>
    <w:rsid w:val="001E5FC2"/>
    <w:rsid w:val="001E61DD"/>
    <w:rsid w:val="001E758C"/>
    <w:rsid w:val="001E76F8"/>
    <w:rsid w:val="001E7ADF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177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5D3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57E59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73D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5D4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5F7B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2DA9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AF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17CA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64F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6BEE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4E3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6DA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50E"/>
    <w:rsid w:val="00397AB8"/>
    <w:rsid w:val="00397E11"/>
    <w:rsid w:val="003A0200"/>
    <w:rsid w:val="003A0BE3"/>
    <w:rsid w:val="003A0C03"/>
    <w:rsid w:val="003A12ED"/>
    <w:rsid w:val="003A1B5D"/>
    <w:rsid w:val="003A1EE5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5943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1CF4"/>
    <w:rsid w:val="003D2390"/>
    <w:rsid w:val="003D29BF"/>
    <w:rsid w:val="003D32E5"/>
    <w:rsid w:val="003D33E1"/>
    <w:rsid w:val="003D3471"/>
    <w:rsid w:val="003D3564"/>
    <w:rsid w:val="003D39B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31B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7A1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533"/>
    <w:rsid w:val="004479E6"/>
    <w:rsid w:val="00450404"/>
    <w:rsid w:val="00450E83"/>
    <w:rsid w:val="00451AC4"/>
    <w:rsid w:val="004523A7"/>
    <w:rsid w:val="0045381E"/>
    <w:rsid w:val="00453F74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4E2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0D9"/>
    <w:rsid w:val="004851E0"/>
    <w:rsid w:val="0048580A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C23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50D"/>
    <w:rsid w:val="004D1B08"/>
    <w:rsid w:val="004D1E3F"/>
    <w:rsid w:val="004D2B52"/>
    <w:rsid w:val="004D2F06"/>
    <w:rsid w:val="004D3FCB"/>
    <w:rsid w:val="004D48AA"/>
    <w:rsid w:val="004D4B79"/>
    <w:rsid w:val="004D50B1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3A8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390D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4B"/>
    <w:rsid w:val="006051BC"/>
    <w:rsid w:val="0060555D"/>
    <w:rsid w:val="006055B2"/>
    <w:rsid w:val="00605723"/>
    <w:rsid w:val="0060615C"/>
    <w:rsid w:val="00606177"/>
    <w:rsid w:val="00607488"/>
    <w:rsid w:val="00610119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BE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3BCB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3EC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32F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4D88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6917"/>
    <w:rsid w:val="006A721B"/>
    <w:rsid w:val="006B0005"/>
    <w:rsid w:val="006B02D4"/>
    <w:rsid w:val="006B1184"/>
    <w:rsid w:val="006B167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13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BF6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07253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A13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B2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268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11B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3F1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7F7DC1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A96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46"/>
    <w:rsid w:val="008106D4"/>
    <w:rsid w:val="008109C8"/>
    <w:rsid w:val="00810AC2"/>
    <w:rsid w:val="00810B7A"/>
    <w:rsid w:val="00811BE3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01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353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6B60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022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3EE7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0D9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84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069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D6E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A19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318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366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825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1EA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5D3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749"/>
    <w:rsid w:val="0099693C"/>
    <w:rsid w:val="00996CB6"/>
    <w:rsid w:val="0099703E"/>
    <w:rsid w:val="009A03D2"/>
    <w:rsid w:val="009A10B8"/>
    <w:rsid w:val="009A1499"/>
    <w:rsid w:val="009A1833"/>
    <w:rsid w:val="009A2120"/>
    <w:rsid w:val="009A3027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CBD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37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2E6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1B0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57B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A58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5F1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7C4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50F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851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18"/>
    <w:rsid w:val="00B52336"/>
    <w:rsid w:val="00B52B0C"/>
    <w:rsid w:val="00B5336F"/>
    <w:rsid w:val="00B53BC6"/>
    <w:rsid w:val="00B53C7B"/>
    <w:rsid w:val="00B53F8D"/>
    <w:rsid w:val="00B54374"/>
    <w:rsid w:val="00B54AAA"/>
    <w:rsid w:val="00B54B0E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178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1D0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5F8F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5CD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35E"/>
    <w:rsid w:val="00C34421"/>
    <w:rsid w:val="00C34D6A"/>
    <w:rsid w:val="00C3539D"/>
    <w:rsid w:val="00C35A43"/>
    <w:rsid w:val="00C373B0"/>
    <w:rsid w:val="00C3750B"/>
    <w:rsid w:val="00C37B00"/>
    <w:rsid w:val="00C37E06"/>
    <w:rsid w:val="00C402AB"/>
    <w:rsid w:val="00C4072A"/>
    <w:rsid w:val="00C40983"/>
    <w:rsid w:val="00C41BC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B84"/>
    <w:rsid w:val="00C43CA1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4D09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2F1E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865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0A6D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24C2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DD9"/>
    <w:rsid w:val="00D57FA6"/>
    <w:rsid w:val="00D600D5"/>
    <w:rsid w:val="00D602C5"/>
    <w:rsid w:val="00D60592"/>
    <w:rsid w:val="00D60797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69FF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D38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783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966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3F5B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289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49C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6F87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262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304F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54F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6B5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4250"/>
    <w:rsid w:val="00F25370"/>
    <w:rsid w:val="00F25394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BD6"/>
    <w:rsid w:val="00FA4C7F"/>
    <w:rsid w:val="00FA4E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663B54"/>
  <w15:docId w15:val="{4D13E83F-4A4C-4680-A544-80D42239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9671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BE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BE3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uiPriority w:val="20"/>
    <w:qFormat/>
    <w:locked/>
    <w:rsid w:val="000F4D5C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locked/>
    <w:rsid w:val="00A455F1"/>
    <w:pPr>
      <w:ind w:left="720"/>
    </w:pPr>
  </w:style>
  <w:style w:type="paragraph" w:styleId="BalloonText">
    <w:name w:val="Balloon Text"/>
    <w:basedOn w:val="Normal"/>
    <w:link w:val="BalloonTextChar"/>
    <w:uiPriority w:val="99"/>
    <w:locked/>
    <w:rsid w:val="007F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F7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2016-11-20T06:10:00Z</cp:lastPrinted>
  <dcterms:created xsi:type="dcterms:W3CDTF">2025-09-08T12:52:00Z</dcterms:created>
  <dcterms:modified xsi:type="dcterms:W3CDTF">2025-09-08T12:52:00Z</dcterms:modified>
</cp:coreProperties>
</file>