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18523E" w:rsidRPr="006049F8" w14:paraId="1F4929EA" w14:textId="77777777" w:rsidTr="007C10A0">
        <w:trPr>
          <w:jc w:val="center"/>
        </w:trPr>
        <w:tc>
          <w:tcPr>
            <w:tcW w:w="1980" w:type="dxa"/>
          </w:tcPr>
          <w:p w14:paraId="72688223" w14:textId="77777777" w:rsidR="0018523E" w:rsidRPr="006049F8" w:rsidRDefault="0018523E" w:rsidP="006049F8">
            <w:pPr>
              <w:spacing w:before="120" w:after="120"/>
              <w:rPr>
                <w:rFonts w:asciiTheme="minorHAnsi" w:hAnsiTheme="minorHAnsi" w:cs="Calibri"/>
                <w:b/>
                <w:bCs/>
              </w:rPr>
            </w:pPr>
            <w:r w:rsidRPr="006049F8">
              <w:rPr>
                <w:rFonts w:asciiTheme="minorHAnsi" w:hAnsiTheme="minorHAnsi" w:cs="Calibri"/>
                <w:b/>
                <w:bCs/>
              </w:rPr>
              <w:t>Overview</w:t>
            </w:r>
          </w:p>
        </w:tc>
        <w:tc>
          <w:tcPr>
            <w:tcW w:w="8640" w:type="dxa"/>
          </w:tcPr>
          <w:p w14:paraId="2E5573D3" w14:textId="50D5E360" w:rsidR="0018523E" w:rsidRPr="006049F8" w:rsidRDefault="0018523E" w:rsidP="004A59B6">
            <w:pPr>
              <w:spacing w:before="120" w:after="120"/>
              <w:ind w:left="148" w:right="176"/>
              <w:jc w:val="both"/>
              <w:rPr>
                <w:rFonts w:asciiTheme="minorHAnsi" w:hAnsiTheme="minorHAnsi" w:cs="Calibri"/>
              </w:rPr>
            </w:pPr>
            <w:r w:rsidRPr="006049F8">
              <w:rPr>
                <w:rFonts w:asciiTheme="minorHAnsi" w:hAnsiTheme="minorHAnsi" w:cs="Calibri"/>
              </w:rPr>
              <w:t xml:space="preserve">Unless the sender declares a higher value at the time of the shipment, SMSA limits its liability for customs and for carriage of IP shipments to default value of US $ 100 or US $ 9.07 a pound (whichever is greater). For IP shipments the maximum value that may be declared is US % 50,000 for each shipment. Declared value limit or customs and carriage may vary based on location, </w:t>
            </w:r>
            <w:r w:rsidR="004A59B6">
              <w:rPr>
                <w:rFonts w:asciiTheme="minorHAnsi" w:hAnsiTheme="minorHAnsi" w:cs="Calibri"/>
              </w:rPr>
              <w:t>r</w:t>
            </w:r>
            <w:permStart w:id="828843207" w:ed="eramos@smsaexpress.com"/>
            <w:permEnd w:id="828843207"/>
            <w:r w:rsidRPr="006049F8">
              <w:rPr>
                <w:rFonts w:asciiTheme="minorHAnsi" w:hAnsiTheme="minorHAnsi" w:cs="Calibri"/>
              </w:rPr>
              <w:t xml:space="preserve">efer to the </w:t>
            </w:r>
            <w:r w:rsidR="000E7050">
              <w:rPr>
                <w:rFonts w:asciiTheme="minorHAnsi" w:hAnsiTheme="minorHAnsi" w:cs="Calibri"/>
              </w:rPr>
              <w:t>Service Reference Guide (SRG)</w:t>
            </w:r>
            <w:r w:rsidR="00BB30DE" w:rsidRPr="006049F8">
              <w:rPr>
                <w:rFonts w:asciiTheme="minorHAnsi" w:hAnsiTheme="minorHAnsi" w:cs="Calibri"/>
              </w:rPr>
              <w:t>.</w:t>
            </w:r>
          </w:p>
        </w:tc>
      </w:tr>
      <w:tr w:rsidR="0018523E" w:rsidRPr="006049F8" w14:paraId="3335AEAA" w14:textId="77777777" w:rsidTr="007C10A0">
        <w:trPr>
          <w:jc w:val="center"/>
        </w:trPr>
        <w:tc>
          <w:tcPr>
            <w:tcW w:w="1980" w:type="dxa"/>
          </w:tcPr>
          <w:p w14:paraId="54D9BBB1" w14:textId="77777777" w:rsidR="0018523E" w:rsidRPr="006049F8" w:rsidRDefault="0018523E" w:rsidP="006049F8">
            <w:pPr>
              <w:spacing w:before="120" w:after="120"/>
              <w:rPr>
                <w:rFonts w:asciiTheme="minorHAnsi" w:hAnsiTheme="minorHAnsi" w:cs="Calibri"/>
                <w:b/>
                <w:bCs/>
              </w:rPr>
            </w:pPr>
            <w:r w:rsidRPr="006049F8">
              <w:rPr>
                <w:rFonts w:asciiTheme="minorHAnsi" w:hAnsiTheme="minorHAnsi" w:cs="Calibri"/>
                <w:b/>
                <w:bCs/>
              </w:rPr>
              <w:t>Person Affected</w:t>
            </w:r>
          </w:p>
        </w:tc>
        <w:tc>
          <w:tcPr>
            <w:tcW w:w="8640" w:type="dxa"/>
          </w:tcPr>
          <w:p w14:paraId="40024C4B" w14:textId="77777777" w:rsidR="0018523E" w:rsidRPr="006049F8" w:rsidRDefault="0018523E" w:rsidP="00412AE3">
            <w:pPr>
              <w:spacing w:before="120" w:after="120"/>
              <w:ind w:left="148" w:right="176"/>
              <w:jc w:val="both"/>
              <w:rPr>
                <w:rStyle w:val="Strong"/>
                <w:rFonts w:asciiTheme="minorHAnsi" w:hAnsiTheme="minorHAnsi" w:cs="Calibri"/>
                <w:b w:val="0"/>
                <w:bCs w:val="0"/>
              </w:rPr>
            </w:pPr>
            <w:r w:rsidRPr="006049F8">
              <w:rPr>
                <w:rStyle w:val="Strong"/>
                <w:rFonts w:asciiTheme="minorHAnsi" w:hAnsiTheme="minorHAnsi" w:cs="Calibri"/>
                <w:b w:val="0"/>
                <w:bCs w:val="0"/>
              </w:rPr>
              <w:t>Managers a</w:t>
            </w:r>
            <w:r w:rsidR="00BB30DE" w:rsidRPr="006049F8">
              <w:rPr>
                <w:rStyle w:val="Strong"/>
                <w:rFonts w:asciiTheme="minorHAnsi" w:hAnsiTheme="minorHAnsi" w:cs="Calibri"/>
                <w:b w:val="0"/>
                <w:bCs w:val="0"/>
              </w:rPr>
              <w:t>nd Supervisors in</w:t>
            </w:r>
            <w:r w:rsidRPr="006049F8">
              <w:rPr>
                <w:rStyle w:val="Strong"/>
                <w:rFonts w:asciiTheme="minorHAnsi" w:hAnsiTheme="minorHAnsi" w:cs="Calibri"/>
                <w:b w:val="0"/>
                <w:bCs w:val="0"/>
              </w:rPr>
              <w:t xml:space="preserve"> Operations, Hubs and Gateways where the handing &amp; sorting of shipments occurs.</w:t>
            </w:r>
          </w:p>
        </w:tc>
      </w:tr>
      <w:tr w:rsidR="0018523E" w:rsidRPr="006049F8" w14:paraId="6B2DC08F" w14:textId="77777777" w:rsidTr="007C10A0">
        <w:trPr>
          <w:jc w:val="center"/>
        </w:trPr>
        <w:tc>
          <w:tcPr>
            <w:tcW w:w="1980" w:type="dxa"/>
          </w:tcPr>
          <w:p w14:paraId="2D7A8C4C" w14:textId="77777777" w:rsidR="0018523E" w:rsidRPr="006049F8" w:rsidRDefault="0018523E" w:rsidP="006049F8">
            <w:pPr>
              <w:spacing w:before="120" w:after="120"/>
              <w:rPr>
                <w:rFonts w:asciiTheme="minorHAnsi" w:hAnsiTheme="minorHAnsi" w:cs="Calibri"/>
                <w:b/>
                <w:bCs/>
              </w:rPr>
            </w:pPr>
            <w:r w:rsidRPr="006049F8">
              <w:rPr>
                <w:rFonts w:asciiTheme="minorHAnsi" w:hAnsiTheme="minorHAnsi" w:cs="Calibri"/>
                <w:b/>
                <w:bCs/>
              </w:rPr>
              <w:t>Instruction</w:t>
            </w:r>
          </w:p>
        </w:tc>
        <w:tc>
          <w:tcPr>
            <w:tcW w:w="8640" w:type="dxa"/>
          </w:tcPr>
          <w:p w14:paraId="5164FF99" w14:textId="77777777" w:rsidR="0018523E" w:rsidRPr="00412AE3" w:rsidRDefault="0018523E" w:rsidP="00412AE3">
            <w:pPr>
              <w:spacing w:before="120"/>
              <w:ind w:left="148" w:right="176"/>
              <w:jc w:val="both"/>
              <w:rPr>
                <w:rFonts w:asciiTheme="minorHAnsi" w:hAnsiTheme="minorHAnsi" w:cs="Calibri"/>
                <w:b/>
                <w:bCs/>
              </w:rPr>
            </w:pPr>
            <w:r w:rsidRPr="00412AE3">
              <w:rPr>
                <w:rFonts w:asciiTheme="minorHAnsi" w:hAnsiTheme="minorHAnsi" w:cs="Calibri"/>
                <w:b/>
                <w:bCs/>
              </w:rPr>
              <w:t>Declared Value for Customs:</w:t>
            </w:r>
          </w:p>
          <w:p w14:paraId="2AAE6F11"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00E7BAE4" w14:textId="3880BA9C" w:rsidR="0018523E" w:rsidRPr="006049F8" w:rsidRDefault="00412AE3" w:rsidP="00412AE3">
            <w:pPr>
              <w:ind w:left="148" w:right="176"/>
              <w:jc w:val="both"/>
              <w:rPr>
                <w:rFonts w:asciiTheme="minorHAnsi" w:hAnsiTheme="minorHAnsi" w:cs="Calibri"/>
              </w:rPr>
            </w:pPr>
            <w:r>
              <w:rPr>
                <w:rFonts w:asciiTheme="minorHAnsi" w:hAnsiTheme="minorHAnsi" w:cs="Calibri"/>
              </w:rPr>
              <w:t>Declared V</w:t>
            </w:r>
            <w:r w:rsidR="0018523E" w:rsidRPr="006049F8">
              <w:rPr>
                <w:rFonts w:asciiTheme="minorHAnsi" w:hAnsiTheme="minorHAnsi" w:cs="Calibri"/>
              </w:rPr>
              <w:t xml:space="preserve">alue (DV) for customs is required by each destination country. Limits on declared value for customs vary by country. Refer to the </w:t>
            </w:r>
            <w:r>
              <w:rPr>
                <w:rFonts w:asciiTheme="minorHAnsi" w:hAnsiTheme="minorHAnsi" w:cs="Calibri"/>
              </w:rPr>
              <w:t>Service Reference Guide (SRG)</w:t>
            </w:r>
            <w:r w:rsidRPr="006049F8">
              <w:rPr>
                <w:rFonts w:asciiTheme="minorHAnsi" w:hAnsiTheme="minorHAnsi" w:cs="Calibri"/>
              </w:rPr>
              <w:t>.</w:t>
            </w:r>
          </w:p>
          <w:p w14:paraId="54F97CE4"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02391C49" w14:textId="77777777" w:rsidR="0018523E" w:rsidRPr="00412AE3" w:rsidRDefault="0018523E" w:rsidP="000E7050">
            <w:pPr>
              <w:ind w:left="148" w:right="176"/>
              <w:jc w:val="both"/>
              <w:rPr>
                <w:rFonts w:asciiTheme="minorHAnsi" w:hAnsiTheme="minorHAnsi" w:cs="Calibri"/>
                <w:b/>
                <w:bCs/>
              </w:rPr>
            </w:pPr>
            <w:r w:rsidRPr="00412AE3">
              <w:rPr>
                <w:rFonts w:asciiTheme="minorHAnsi" w:hAnsiTheme="minorHAnsi" w:cs="Calibri"/>
                <w:b/>
                <w:bCs/>
              </w:rPr>
              <w:t>Declared Value (DV) for Carriage:</w:t>
            </w:r>
          </w:p>
          <w:p w14:paraId="63FED936"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42DFCB67"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The actual value is the cost to repair or replace a shipment or its depreciated value, whichever is less. The declared value from the customer’s point of view represents the monetary value of the item they are shipping. The declared value form SMSA’s point of view is to limit of the Company’s liability for the shipment when one of the following applies:</w:t>
            </w:r>
          </w:p>
          <w:p w14:paraId="1E8B16A5" w14:textId="77777777" w:rsidR="0018523E" w:rsidRPr="006049F8" w:rsidRDefault="0018523E" w:rsidP="000E7050">
            <w:pPr>
              <w:ind w:left="148" w:right="176"/>
              <w:jc w:val="both"/>
              <w:rPr>
                <w:rFonts w:asciiTheme="minorHAnsi" w:hAnsiTheme="minorHAnsi" w:cs="Calibri"/>
              </w:rPr>
            </w:pPr>
          </w:p>
          <w:p w14:paraId="58F084D1" w14:textId="77777777" w:rsidR="0018523E" w:rsidRPr="006049F8" w:rsidRDefault="0018523E" w:rsidP="00412AE3">
            <w:pPr>
              <w:numPr>
                <w:ilvl w:val="0"/>
                <w:numId w:val="5"/>
              </w:numPr>
              <w:ind w:left="688" w:right="176" w:hanging="270"/>
              <w:jc w:val="both"/>
              <w:rPr>
                <w:rFonts w:asciiTheme="minorHAnsi" w:hAnsiTheme="minorHAnsi" w:cs="Calibri"/>
              </w:rPr>
            </w:pPr>
            <w:r w:rsidRPr="006049F8">
              <w:rPr>
                <w:rFonts w:asciiTheme="minorHAnsi" w:hAnsiTheme="minorHAnsi" w:cs="Calibri"/>
              </w:rPr>
              <w:t>A Shipment is delayed, damaged, lost or delivered to the wrong recipient</w:t>
            </w:r>
          </w:p>
          <w:p w14:paraId="1E242DB4" w14:textId="77777777" w:rsidR="0018523E" w:rsidRPr="006049F8" w:rsidRDefault="0018523E" w:rsidP="00412AE3">
            <w:pPr>
              <w:numPr>
                <w:ilvl w:val="0"/>
                <w:numId w:val="5"/>
              </w:numPr>
              <w:ind w:left="688" w:right="176" w:hanging="270"/>
              <w:jc w:val="both"/>
              <w:rPr>
                <w:rFonts w:asciiTheme="minorHAnsi" w:hAnsiTheme="minorHAnsi" w:cs="Calibri"/>
              </w:rPr>
            </w:pPr>
            <w:r w:rsidRPr="006049F8">
              <w:rPr>
                <w:rFonts w:asciiTheme="minorHAnsi" w:hAnsiTheme="minorHAnsi" w:cs="Calibri"/>
              </w:rPr>
              <w:t xml:space="preserve">Incorrect information was given to the customer or information was not given to the customer.  </w:t>
            </w:r>
          </w:p>
          <w:p w14:paraId="6CFA1BD1" w14:textId="77777777" w:rsidR="00412AE3" w:rsidRDefault="00412AE3" w:rsidP="000E7050">
            <w:pPr>
              <w:ind w:left="148" w:right="176"/>
              <w:jc w:val="both"/>
              <w:rPr>
                <w:rFonts w:asciiTheme="minorHAnsi" w:hAnsiTheme="minorHAnsi" w:cs="Calibri"/>
              </w:rPr>
            </w:pPr>
          </w:p>
          <w:p w14:paraId="520A216D"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If the actual value of the contents of a package is less than the declared value, SMSA is liable only for the actual value. When a value is declared more than the default value (US$ 100), appropriate charges must be paid when the shipment is accepted.</w:t>
            </w:r>
          </w:p>
          <w:p w14:paraId="69B14037"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4FF97437" w14:textId="77777777" w:rsidR="0018523E" w:rsidRPr="00412AE3" w:rsidRDefault="0018523E" w:rsidP="000E7050">
            <w:pPr>
              <w:ind w:left="148" w:right="176"/>
              <w:jc w:val="both"/>
              <w:rPr>
                <w:rFonts w:asciiTheme="minorHAnsi" w:hAnsiTheme="minorHAnsi" w:cs="Calibri"/>
                <w:b/>
                <w:bCs/>
              </w:rPr>
            </w:pPr>
            <w:r w:rsidRPr="00412AE3">
              <w:rPr>
                <w:rFonts w:asciiTheme="minorHAnsi" w:hAnsiTheme="minorHAnsi" w:cs="Calibri"/>
                <w:b/>
                <w:bCs/>
              </w:rPr>
              <w:t>Items of Extraordinary Value:</w:t>
            </w:r>
          </w:p>
          <w:p w14:paraId="2FEC53F3"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185D4F52" w14:textId="3D83B941" w:rsidR="0018523E" w:rsidRPr="006049F8" w:rsidRDefault="0018523E" w:rsidP="00412AE3">
            <w:pPr>
              <w:ind w:left="148" w:right="176"/>
              <w:jc w:val="both"/>
              <w:rPr>
                <w:rFonts w:asciiTheme="minorHAnsi" w:hAnsiTheme="minorHAnsi" w:cs="Calibri"/>
              </w:rPr>
            </w:pPr>
            <w:r w:rsidRPr="006049F8">
              <w:rPr>
                <w:rFonts w:asciiTheme="minorHAnsi" w:hAnsiTheme="minorHAnsi" w:cs="Calibri"/>
              </w:rPr>
              <w:t xml:space="preserve">When the shipments contain items described in “Items of Extraordinary Value” in the </w:t>
            </w:r>
            <w:r w:rsidR="00412AE3">
              <w:rPr>
                <w:rFonts w:asciiTheme="minorHAnsi" w:hAnsiTheme="minorHAnsi" w:cs="Calibri"/>
              </w:rPr>
              <w:t>SRG</w:t>
            </w:r>
            <w:r w:rsidRPr="006049F8">
              <w:rPr>
                <w:rFonts w:asciiTheme="minorHAnsi" w:hAnsiTheme="minorHAnsi" w:cs="Calibri"/>
              </w:rPr>
              <w:t xml:space="preserve">, the maximum value that can be declared value for carriage for the package is US$ 500 or US$9.07 per </w:t>
            </w:r>
            <w:proofErr w:type="spellStart"/>
            <w:r w:rsidRPr="006049F8">
              <w:rPr>
                <w:rFonts w:asciiTheme="minorHAnsi" w:hAnsiTheme="minorHAnsi" w:cs="Calibri"/>
              </w:rPr>
              <w:t>lb</w:t>
            </w:r>
            <w:proofErr w:type="spellEnd"/>
            <w:r w:rsidRPr="006049F8">
              <w:rPr>
                <w:rFonts w:asciiTheme="minorHAnsi" w:hAnsiTheme="minorHAnsi" w:cs="Calibri"/>
              </w:rPr>
              <w:t xml:space="preserve">, whichever is more. </w:t>
            </w:r>
          </w:p>
          <w:p w14:paraId="4EB8BF8D" w14:textId="77777777" w:rsidR="0018523E" w:rsidRPr="006049F8" w:rsidRDefault="0018523E" w:rsidP="000E7050">
            <w:pPr>
              <w:ind w:left="148" w:right="176"/>
              <w:jc w:val="both"/>
              <w:rPr>
                <w:rFonts w:asciiTheme="minorHAnsi" w:hAnsiTheme="minorHAnsi" w:cs="Calibri"/>
              </w:rPr>
            </w:pPr>
          </w:p>
          <w:p w14:paraId="209957FF"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When the value is limit for customs in the destination country is less than US$500, then that is the limit on the DV for carriages. For example, if the customs limit is US$300, the highest DV for carriage is also US$300.</w:t>
            </w:r>
          </w:p>
          <w:p w14:paraId="35D187F6" w14:textId="77777777" w:rsidR="0018523E" w:rsidRDefault="0018523E" w:rsidP="000E7050">
            <w:pPr>
              <w:ind w:left="148" w:right="176"/>
              <w:jc w:val="both"/>
              <w:rPr>
                <w:rFonts w:asciiTheme="minorHAnsi" w:hAnsiTheme="minorHAnsi" w:cs="Calibri"/>
              </w:rPr>
            </w:pPr>
          </w:p>
          <w:p w14:paraId="4259B64B" w14:textId="77777777" w:rsidR="00412AE3" w:rsidRDefault="00412AE3" w:rsidP="000E7050">
            <w:pPr>
              <w:ind w:left="148" w:right="176"/>
              <w:jc w:val="both"/>
              <w:rPr>
                <w:rFonts w:asciiTheme="minorHAnsi" w:hAnsiTheme="minorHAnsi" w:cs="Calibri"/>
              </w:rPr>
            </w:pPr>
          </w:p>
          <w:p w14:paraId="06B3317E" w14:textId="77777777" w:rsidR="00412AE3" w:rsidRDefault="00412AE3" w:rsidP="000E7050">
            <w:pPr>
              <w:ind w:left="148" w:right="176"/>
              <w:jc w:val="both"/>
              <w:rPr>
                <w:rFonts w:asciiTheme="minorHAnsi" w:hAnsiTheme="minorHAnsi" w:cs="Calibri"/>
              </w:rPr>
            </w:pPr>
          </w:p>
          <w:p w14:paraId="237E64E0" w14:textId="77777777" w:rsidR="00412AE3" w:rsidRDefault="00412AE3" w:rsidP="000E7050">
            <w:pPr>
              <w:ind w:left="148" w:right="176"/>
              <w:jc w:val="both"/>
              <w:rPr>
                <w:rFonts w:asciiTheme="minorHAnsi" w:hAnsiTheme="minorHAnsi" w:cs="Calibri"/>
              </w:rPr>
            </w:pPr>
          </w:p>
          <w:p w14:paraId="42F09E65" w14:textId="77777777" w:rsidR="00412AE3" w:rsidRPr="006049F8" w:rsidRDefault="00412AE3" w:rsidP="000E7050">
            <w:pPr>
              <w:ind w:left="148" w:right="176"/>
              <w:jc w:val="both"/>
              <w:rPr>
                <w:rFonts w:asciiTheme="minorHAnsi" w:hAnsiTheme="minorHAnsi" w:cs="Calibri"/>
              </w:rPr>
            </w:pPr>
          </w:p>
          <w:p w14:paraId="23F96B4D" w14:textId="77777777" w:rsidR="0018523E" w:rsidRDefault="0018523E" w:rsidP="00E76B95">
            <w:pPr>
              <w:ind w:left="148" w:right="176"/>
              <w:jc w:val="both"/>
              <w:rPr>
                <w:rFonts w:asciiTheme="minorHAnsi" w:hAnsiTheme="minorHAnsi" w:cs="Calibri"/>
              </w:rPr>
            </w:pPr>
            <w:r w:rsidRPr="006049F8">
              <w:rPr>
                <w:rFonts w:asciiTheme="minorHAnsi" w:hAnsiTheme="minorHAnsi" w:cs="Calibri"/>
              </w:rPr>
              <w:lastRenderedPageBreak/>
              <w:t xml:space="preserve">Items of extraordinary, </w:t>
            </w:r>
            <w:r w:rsidR="00E76B95">
              <w:rPr>
                <w:rFonts w:asciiTheme="minorHAnsi" w:hAnsiTheme="minorHAnsi" w:cs="Calibri"/>
              </w:rPr>
              <w:t>d</w:t>
            </w:r>
            <w:r w:rsidRPr="006049F8">
              <w:rPr>
                <w:rFonts w:asciiTheme="minorHAnsi" w:hAnsiTheme="minorHAnsi" w:cs="Calibri"/>
              </w:rPr>
              <w:t xml:space="preserve">escription, and </w:t>
            </w:r>
            <w:r w:rsidR="00E76B95">
              <w:rPr>
                <w:rFonts w:asciiTheme="minorHAnsi" w:hAnsiTheme="minorHAnsi" w:cs="Calibri"/>
              </w:rPr>
              <w:t>e</w:t>
            </w:r>
            <w:r w:rsidRPr="006049F8">
              <w:rPr>
                <w:rFonts w:asciiTheme="minorHAnsi" w:hAnsiTheme="minorHAnsi" w:cs="Calibri"/>
              </w:rPr>
              <w:t>xamples:</w:t>
            </w:r>
          </w:p>
          <w:p w14:paraId="32961DF3" w14:textId="77777777" w:rsidR="00E76B95" w:rsidRPr="006049F8" w:rsidRDefault="00E76B95" w:rsidP="000E7050">
            <w:pPr>
              <w:ind w:left="148" w:right="176"/>
              <w:jc w:val="both"/>
              <w:rPr>
                <w:rFonts w:asciiTheme="minorHAnsi" w:hAnsiTheme="minorHAnsi" w:cs="Calibri"/>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62"/>
              <w:gridCol w:w="4654"/>
            </w:tblGrid>
            <w:tr w:rsidR="0018523E" w:rsidRPr="00CC763F" w14:paraId="3214E5E7" w14:textId="77777777" w:rsidTr="00CC763F">
              <w:trPr>
                <w:jc w:val="center"/>
              </w:trPr>
              <w:tc>
                <w:tcPr>
                  <w:tcW w:w="2262" w:type="dxa"/>
                  <w:tcBorders>
                    <w:top w:val="single" w:sz="8" w:space="0" w:color="auto"/>
                    <w:left w:val="single" w:sz="8" w:space="0" w:color="auto"/>
                    <w:bottom w:val="single" w:sz="8" w:space="0" w:color="auto"/>
                    <w:right w:val="single" w:sz="8" w:space="0" w:color="auto"/>
                  </w:tcBorders>
                  <w:shd w:val="clear" w:color="auto" w:fill="374A9C"/>
                  <w:tcMar>
                    <w:top w:w="0" w:type="dxa"/>
                    <w:left w:w="108" w:type="dxa"/>
                    <w:bottom w:w="0" w:type="dxa"/>
                    <w:right w:w="108" w:type="dxa"/>
                  </w:tcMar>
                </w:tcPr>
                <w:p w14:paraId="4407B6DD" w14:textId="77777777" w:rsidR="0018523E" w:rsidRPr="00CC763F" w:rsidRDefault="0018523E" w:rsidP="00E76B95">
                  <w:pPr>
                    <w:ind w:left="148" w:right="176"/>
                    <w:jc w:val="center"/>
                    <w:rPr>
                      <w:rFonts w:asciiTheme="minorHAnsi" w:hAnsiTheme="minorHAnsi" w:cs="Calibri"/>
                      <w:b/>
                      <w:bCs/>
                      <w:color w:val="FFFFFF" w:themeColor="background1"/>
                    </w:rPr>
                  </w:pPr>
                  <w:r w:rsidRPr="00CC763F">
                    <w:rPr>
                      <w:rFonts w:asciiTheme="minorHAnsi" w:hAnsiTheme="minorHAnsi" w:cs="Calibri"/>
                      <w:b/>
                      <w:bCs/>
                      <w:color w:val="FFFFFF" w:themeColor="background1"/>
                    </w:rPr>
                    <w:t>Items</w:t>
                  </w:r>
                </w:p>
              </w:tc>
              <w:tc>
                <w:tcPr>
                  <w:tcW w:w="4654" w:type="dxa"/>
                  <w:tcBorders>
                    <w:top w:val="single" w:sz="8" w:space="0" w:color="auto"/>
                    <w:left w:val="single" w:sz="8" w:space="0" w:color="auto"/>
                    <w:bottom w:val="single" w:sz="8" w:space="0" w:color="auto"/>
                    <w:right w:val="single" w:sz="8" w:space="0" w:color="auto"/>
                  </w:tcBorders>
                  <w:shd w:val="clear" w:color="auto" w:fill="374A9C"/>
                  <w:tcMar>
                    <w:top w:w="0" w:type="dxa"/>
                    <w:left w:w="108" w:type="dxa"/>
                    <w:bottom w:w="0" w:type="dxa"/>
                    <w:right w:w="108" w:type="dxa"/>
                  </w:tcMar>
                </w:tcPr>
                <w:p w14:paraId="76FF0FFA" w14:textId="77777777" w:rsidR="0018523E" w:rsidRPr="00CC763F" w:rsidRDefault="0018523E" w:rsidP="00E76B95">
                  <w:pPr>
                    <w:ind w:left="148" w:right="176"/>
                    <w:jc w:val="center"/>
                    <w:rPr>
                      <w:rFonts w:asciiTheme="minorHAnsi" w:hAnsiTheme="minorHAnsi" w:cs="Calibri"/>
                      <w:b/>
                      <w:bCs/>
                      <w:color w:val="FFFFFF" w:themeColor="background1"/>
                    </w:rPr>
                  </w:pPr>
                  <w:r w:rsidRPr="00CC763F">
                    <w:rPr>
                      <w:rFonts w:asciiTheme="minorHAnsi" w:hAnsiTheme="minorHAnsi" w:cs="Calibri"/>
                      <w:b/>
                      <w:bCs/>
                      <w:color w:val="FFFFFF" w:themeColor="background1"/>
                    </w:rPr>
                    <w:t>Description and Examples</w:t>
                  </w:r>
                </w:p>
              </w:tc>
            </w:tr>
            <w:tr w:rsidR="0018523E" w:rsidRPr="006049F8" w14:paraId="1CF74291"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C4A0F6"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Artwork</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5FF99A"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Any work created or developed by the application of skill, taste, or creative talent for sale, display, or collection, such as paintings, drawings, vases, tapestries, limited edition, prints fine art statuary, sculpture, collector’s items, photographic, negatives, photographic chromes, photographic slides and any other commodity that by its inherent nature is particularly susceptible to damage, or the marker value of which particularly variable or difficult to ascertain.</w:t>
                  </w:r>
                </w:p>
              </w:tc>
            </w:tr>
            <w:tr w:rsidR="0018523E" w:rsidRPr="006049F8" w14:paraId="79AB7A55"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C1824D"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Antiques</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A4B5" w14:textId="584D2C05"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Any commodity which exhibits the style or fashion or a past era and whose history, age or rarity contributes to it value, such as furniture, tableware, glassware, collector’s items (Such as coins, stamps, spo</w:t>
                  </w:r>
                  <w:r w:rsidR="009717B3">
                    <w:rPr>
                      <w:rFonts w:asciiTheme="minorHAnsi" w:hAnsiTheme="minorHAnsi" w:cs="Calibri"/>
                      <w:sz w:val="20"/>
                      <w:szCs w:val="20"/>
                    </w:rPr>
                    <w:t>r</w:t>
                  </w:r>
                  <w:r w:rsidRPr="00BD4E1B">
                    <w:rPr>
                      <w:rFonts w:asciiTheme="minorHAnsi" w:hAnsiTheme="minorHAnsi" w:cs="Calibri"/>
                      <w:sz w:val="20"/>
                      <w:szCs w:val="20"/>
                    </w:rPr>
                    <w:t>ts cards, souvenirs, and memorabilia)</w:t>
                  </w:r>
                </w:p>
              </w:tc>
            </w:tr>
            <w:tr w:rsidR="0018523E" w:rsidRPr="006049F8" w14:paraId="41D41B54"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811321"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Glassware</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C7A364"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 xml:space="preserve">Items such as signs, mirrors, ceramics, porcelain, </w:t>
                  </w:r>
                  <w:proofErr w:type="spellStart"/>
                  <w:r w:rsidRPr="00BD4E1B">
                    <w:rPr>
                      <w:rFonts w:asciiTheme="minorHAnsi" w:hAnsiTheme="minorHAnsi" w:cs="Calibri"/>
                      <w:sz w:val="20"/>
                      <w:szCs w:val="20"/>
                    </w:rPr>
                    <w:t>china</w:t>
                  </w:r>
                  <w:proofErr w:type="spellEnd"/>
                  <w:r w:rsidRPr="00BD4E1B">
                    <w:rPr>
                      <w:rFonts w:asciiTheme="minorHAnsi" w:hAnsiTheme="minorHAnsi" w:cs="Calibri"/>
                      <w:sz w:val="20"/>
                      <w:szCs w:val="20"/>
                    </w:rPr>
                    <w:t>, crystal, glass, framed, glass, and any other commodity with similarity fragile jewelry</w:t>
                  </w:r>
                </w:p>
              </w:tc>
            </w:tr>
            <w:tr w:rsidR="0018523E" w:rsidRPr="006049F8" w14:paraId="17634BC4"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2943DB"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Jewelry</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1CCFF9"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Items such as watches and their parts, precious and semiprecious gems or stones, whether cut or uncut, industrial diamonds, and costume jewelry</w:t>
                  </w:r>
                </w:p>
              </w:tc>
            </w:tr>
            <w:tr w:rsidR="0018523E" w:rsidRPr="006049F8" w14:paraId="7D1C9CE3"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5E680B"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Furs</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CA5B47"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Items such as fur clothing, fur-trimmed clothing, and fur pelts</w:t>
                  </w:r>
                </w:p>
              </w:tc>
            </w:tr>
            <w:tr w:rsidR="0018523E" w:rsidRPr="006049F8" w14:paraId="62D366A2" w14:textId="77777777" w:rsidTr="00E76B95">
              <w:trPr>
                <w:jc w:val="center"/>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BBB876"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Precious metals</w:t>
                  </w:r>
                </w:p>
              </w:tc>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0546B" w14:textId="77777777" w:rsidR="0018523E" w:rsidRPr="00BD4E1B" w:rsidRDefault="0018523E" w:rsidP="00E76B95">
                  <w:pPr>
                    <w:spacing w:before="120" w:after="120"/>
                    <w:ind w:left="148" w:right="176"/>
                    <w:jc w:val="both"/>
                    <w:rPr>
                      <w:rFonts w:asciiTheme="minorHAnsi" w:hAnsiTheme="minorHAnsi" w:cs="Calibri"/>
                      <w:sz w:val="20"/>
                      <w:szCs w:val="20"/>
                    </w:rPr>
                  </w:pPr>
                  <w:r w:rsidRPr="00BD4E1B">
                    <w:rPr>
                      <w:rFonts w:asciiTheme="minorHAnsi" w:hAnsiTheme="minorHAnsi" w:cs="Calibri"/>
                      <w:sz w:val="20"/>
                      <w:szCs w:val="20"/>
                    </w:rPr>
                    <w:t xml:space="preserve">Items such as gold and silver bullion, dust, precipitates, or </w:t>
                  </w:r>
                  <w:r w:rsidR="00343EF9" w:rsidRPr="00BD4E1B">
                    <w:rPr>
                      <w:rFonts w:asciiTheme="minorHAnsi" w:hAnsiTheme="minorHAnsi" w:cs="Calibri"/>
                      <w:sz w:val="20"/>
                      <w:szCs w:val="20"/>
                    </w:rPr>
                    <w:t>platinum (accept as a</w:t>
                  </w:r>
                  <w:r w:rsidRPr="00BD4E1B">
                    <w:rPr>
                      <w:rFonts w:asciiTheme="minorHAnsi" w:hAnsiTheme="minorHAnsi" w:cs="Calibri"/>
                      <w:sz w:val="20"/>
                      <w:szCs w:val="20"/>
                    </w:rPr>
                    <w:t>n integral part of electronic machinery)</w:t>
                  </w:r>
                </w:p>
              </w:tc>
            </w:tr>
          </w:tbl>
          <w:p w14:paraId="631545EB" w14:textId="77777777" w:rsidR="0018523E" w:rsidRPr="00E76B95" w:rsidRDefault="0018523E" w:rsidP="00E76B95">
            <w:pPr>
              <w:ind w:left="148" w:right="176"/>
              <w:jc w:val="both"/>
              <w:rPr>
                <w:rFonts w:asciiTheme="minorHAnsi" w:hAnsiTheme="minorHAnsi" w:cs="Calibri"/>
                <w:b/>
                <w:bCs/>
              </w:rPr>
            </w:pPr>
            <w:r w:rsidRPr="006049F8">
              <w:rPr>
                <w:rFonts w:asciiTheme="minorHAnsi" w:hAnsiTheme="minorHAnsi" w:cs="Calibri"/>
                <w:u w:val="single"/>
              </w:rPr>
              <w:br/>
            </w:r>
            <w:r w:rsidRPr="00E76B95">
              <w:rPr>
                <w:rFonts w:asciiTheme="minorHAnsi" w:hAnsiTheme="minorHAnsi" w:cs="Calibri"/>
                <w:b/>
                <w:bCs/>
              </w:rPr>
              <w:t>Declared Value Determination:</w:t>
            </w:r>
          </w:p>
          <w:p w14:paraId="422825E2"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Step</w:t>
            </w:r>
            <w:r w:rsidR="00E7366C">
              <w:rPr>
                <w:rFonts w:asciiTheme="minorHAnsi" w:hAnsiTheme="minorHAnsi" w:cs="Calibri"/>
              </w:rPr>
              <w:t xml:space="preserve"> </w:t>
            </w:r>
            <w:r w:rsidRPr="006049F8">
              <w:rPr>
                <w:rFonts w:asciiTheme="minorHAnsi" w:hAnsiTheme="minorHAnsi" w:cs="Calibri"/>
              </w:rPr>
              <w:t>1: Be sure declared values on the air waybill do not exceed limits</w:t>
            </w:r>
          </w:p>
          <w:p w14:paraId="19421CF4"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185D8BEB" w14:textId="77777777" w:rsidR="0018523E" w:rsidRPr="006049F8" w:rsidRDefault="0018523E" w:rsidP="00E76B95">
            <w:pPr>
              <w:numPr>
                <w:ilvl w:val="0"/>
                <w:numId w:val="2"/>
              </w:numPr>
              <w:tabs>
                <w:tab w:val="clear" w:pos="720"/>
              </w:tabs>
              <w:ind w:left="688" w:right="176" w:hanging="270"/>
              <w:jc w:val="both"/>
              <w:rPr>
                <w:rFonts w:asciiTheme="minorHAnsi" w:hAnsiTheme="minorHAnsi" w:cs="Calibri"/>
              </w:rPr>
            </w:pPr>
            <w:r w:rsidRPr="006049F8">
              <w:rPr>
                <w:rFonts w:asciiTheme="minorHAnsi" w:hAnsiTheme="minorHAnsi" w:cs="Calibri"/>
              </w:rPr>
              <w:t>Be sure the shipper entered DV for customs.</w:t>
            </w:r>
          </w:p>
          <w:p w14:paraId="57CD7097" w14:textId="77777777" w:rsidR="0018523E" w:rsidRPr="006049F8" w:rsidRDefault="0018523E" w:rsidP="00E76B95">
            <w:pPr>
              <w:numPr>
                <w:ilvl w:val="0"/>
                <w:numId w:val="2"/>
              </w:numPr>
              <w:tabs>
                <w:tab w:val="clear" w:pos="720"/>
              </w:tabs>
              <w:ind w:left="688" w:right="176" w:hanging="270"/>
              <w:jc w:val="both"/>
              <w:rPr>
                <w:rFonts w:asciiTheme="minorHAnsi" w:hAnsiTheme="minorHAnsi" w:cs="Calibri"/>
              </w:rPr>
            </w:pPr>
            <w:r w:rsidRPr="006049F8">
              <w:rPr>
                <w:rFonts w:asciiTheme="minorHAnsi" w:hAnsiTheme="minorHAnsi" w:cs="Calibri"/>
              </w:rPr>
              <w:t>If no DV for carriage is declared, tell the sender SMSA liability for IP shipment is limited to a default of US$100 per package or US$9.07lb whichever is high.</w:t>
            </w:r>
          </w:p>
          <w:p w14:paraId="7F652FDC" w14:textId="77777777" w:rsidR="0018523E" w:rsidRPr="006049F8" w:rsidRDefault="0018523E" w:rsidP="00E76B95">
            <w:pPr>
              <w:numPr>
                <w:ilvl w:val="0"/>
                <w:numId w:val="2"/>
              </w:numPr>
              <w:tabs>
                <w:tab w:val="clear" w:pos="720"/>
              </w:tabs>
              <w:ind w:left="688" w:right="176" w:hanging="270"/>
              <w:jc w:val="both"/>
              <w:rPr>
                <w:rFonts w:asciiTheme="minorHAnsi" w:hAnsiTheme="minorHAnsi" w:cs="Calibri"/>
              </w:rPr>
            </w:pPr>
            <w:r w:rsidRPr="006049F8">
              <w:rPr>
                <w:rFonts w:asciiTheme="minorHAnsi" w:hAnsiTheme="minorHAnsi" w:cs="Calibri"/>
              </w:rPr>
              <w:t>Be sure the DV for carriage is not more than the DV for customs.</w:t>
            </w:r>
          </w:p>
          <w:p w14:paraId="67EA1769" w14:textId="77777777" w:rsidR="0018523E" w:rsidRPr="006049F8" w:rsidRDefault="0018523E" w:rsidP="00E76B95">
            <w:pPr>
              <w:numPr>
                <w:ilvl w:val="0"/>
                <w:numId w:val="2"/>
              </w:numPr>
              <w:tabs>
                <w:tab w:val="clear" w:pos="720"/>
              </w:tabs>
              <w:ind w:left="688" w:right="176" w:hanging="270"/>
              <w:jc w:val="both"/>
              <w:rPr>
                <w:rFonts w:asciiTheme="minorHAnsi" w:hAnsiTheme="minorHAnsi" w:cs="Calibri"/>
              </w:rPr>
            </w:pPr>
            <w:r w:rsidRPr="006049F8">
              <w:rPr>
                <w:rFonts w:asciiTheme="minorHAnsi" w:hAnsiTheme="minorHAnsi" w:cs="Calibri"/>
              </w:rPr>
              <w:t>Be sure the DV for carriage in the Total DV for carriage box is not more than SMSA maximum DV per-package and per-shipment limits as summarized in the table below.</w:t>
            </w:r>
          </w:p>
          <w:p w14:paraId="1A91072A" w14:textId="77777777" w:rsidR="0018523E" w:rsidRDefault="0018523E" w:rsidP="000E7050">
            <w:pPr>
              <w:ind w:left="148" w:right="176"/>
              <w:jc w:val="both"/>
              <w:rPr>
                <w:rFonts w:asciiTheme="minorHAnsi" w:hAnsiTheme="minorHAnsi" w:cs="Calibri"/>
              </w:rPr>
            </w:pPr>
            <w:r w:rsidRPr="006049F8">
              <w:rPr>
                <w:rFonts w:asciiTheme="minorHAnsi" w:hAnsiTheme="minorHAnsi" w:cs="Calibri"/>
              </w:rPr>
              <w:t> </w:t>
            </w:r>
          </w:p>
          <w:p w14:paraId="48CC9EF0" w14:textId="77777777" w:rsidR="00BD4E1B" w:rsidRDefault="00BD4E1B" w:rsidP="000E7050">
            <w:pPr>
              <w:ind w:left="148" w:right="176"/>
              <w:jc w:val="both"/>
              <w:rPr>
                <w:rFonts w:asciiTheme="minorHAnsi" w:hAnsiTheme="minorHAnsi" w:cs="Calibri"/>
              </w:rPr>
            </w:pPr>
          </w:p>
          <w:p w14:paraId="3083A05C" w14:textId="77777777" w:rsidR="009717B3" w:rsidRDefault="009717B3" w:rsidP="000E7050">
            <w:pPr>
              <w:ind w:left="148" w:right="176"/>
              <w:jc w:val="both"/>
              <w:rPr>
                <w:rFonts w:asciiTheme="minorHAnsi" w:hAnsiTheme="minorHAnsi" w:cs="Calibri"/>
              </w:rPr>
            </w:pPr>
          </w:p>
          <w:p w14:paraId="6CFA3E5E" w14:textId="77777777" w:rsidR="00BD4E1B" w:rsidRPr="006049F8" w:rsidRDefault="00BD4E1B" w:rsidP="000E7050">
            <w:pPr>
              <w:ind w:left="148" w:right="176"/>
              <w:jc w:val="both"/>
              <w:rPr>
                <w:rFonts w:asciiTheme="minorHAnsi" w:hAnsiTheme="minorHAnsi" w:cs="Calibri"/>
              </w:rPr>
            </w:pPr>
          </w:p>
          <w:tbl>
            <w:tblPr>
              <w:tblW w:w="0" w:type="auto"/>
              <w:jc w:val="center"/>
              <w:tblCellMar>
                <w:left w:w="0" w:type="dxa"/>
                <w:right w:w="0" w:type="dxa"/>
              </w:tblCellMar>
              <w:tblLook w:val="04A0" w:firstRow="1" w:lastRow="0" w:firstColumn="1" w:lastColumn="0" w:noHBand="0" w:noVBand="1"/>
            </w:tblPr>
            <w:tblGrid>
              <w:gridCol w:w="2755"/>
              <w:gridCol w:w="4320"/>
            </w:tblGrid>
            <w:tr w:rsidR="0018523E" w:rsidRPr="00CC763F" w14:paraId="64097A9B" w14:textId="77777777" w:rsidTr="00CC763F">
              <w:trPr>
                <w:trHeight w:val="358"/>
                <w:jc w:val="center"/>
              </w:trPr>
              <w:tc>
                <w:tcPr>
                  <w:tcW w:w="27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57378C8A" w14:textId="77777777" w:rsidR="0018523E" w:rsidRPr="00CC763F" w:rsidRDefault="0018523E" w:rsidP="00346CBA">
                  <w:pPr>
                    <w:ind w:left="148" w:right="176"/>
                    <w:jc w:val="center"/>
                    <w:rPr>
                      <w:rFonts w:asciiTheme="minorHAnsi" w:hAnsiTheme="minorHAnsi" w:cs="Calibri"/>
                      <w:b/>
                      <w:bCs/>
                      <w:color w:val="000000" w:themeColor="text1"/>
                      <w:sz w:val="20"/>
                      <w:szCs w:val="20"/>
                    </w:rPr>
                  </w:pPr>
                  <w:r w:rsidRPr="00CC763F">
                    <w:rPr>
                      <w:rFonts w:asciiTheme="minorHAnsi" w:hAnsiTheme="minorHAnsi" w:cs="Calibri"/>
                      <w:b/>
                      <w:bCs/>
                      <w:color w:val="000000" w:themeColor="text1"/>
                      <w:sz w:val="20"/>
                      <w:szCs w:val="20"/>
                    </w:rPr>
                    <w:t>For</w:t>
                  </w:r>
                  <w:proofErr w:type="gramStart"/>
                  <w:r w:rsidRPr="00CC763F">
                    <w:rPr>
                      <w:rFonts w:asciiTheme="minorHAnsi" w:hAnsiTheme="minorHAnsi" w:cs="Calibri"/>
                      <w:b/>
                      <w:bCs/>
                      <w:color w:val="000000" w:themeColor="text1"/>
                      <w:sz w:val="20"/>
                      <w:szCs w:val="20"/>
                    </w:rPr>
                    <w:t>…..</w:t>
                  </w:r>
                  <w:proofErr w:type="gramEnd"/>
                </w:p>
              </w:tc>
              <w:tc>
                <w:tcPr>
                  <w:tcW w:w="4320" w:type="dxa"/>
                  <w:tcBorders>
                    <w:top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091775A9" w14:textId="77777777" w:rsidR="0018523E" w:rsidRPr="00CC763F" w:rsidRDefault="0018523E" w:rsidP="00346CBA">
                  <w:pPr>
                    <w:ind w:left="148" w:right="176"/>
                    <w:jc w:val="center"/>
                    <w:rPr>
                      <w:rFonts w:asciiTheme="minorHAnsi" w:hAnsiTheme="minorHAnsi" w:cs="Calibri"/>
                      <w:b/>
                      <w:bCs/>
                      <w:color w:val="000000" w:themeColor="text1"/>
                      <w:sz w:val="20"/>
                      <w:szCs w:val="20"/>
                    </w:rPr>
                  </w:pPr>
                  <w:r w:rsidRPr="00CC763F">
                    <w:rPr>
                      <w:rFonts w:asciiTheme="minorHAnsi" w:hAnsiTheme="minorHAnsi" w:cs="Calibri"/>
                      <w:b/>
                      <w:bCs/>
                      <w:color w:val="000000" w:themeColor="text1"/>
                      <w:sz w:val="20"/>
                      <w:szCs w:val="20"/>
                    </w:rPr>
                    <w:t>Declared Value is Limited to….</w:t>
                  </w:r>
                </w:p>
              </w:tc>
            </w:tr>
            <w:tr w:rsidR="0018523E" w:rsidRPr="006049F8" w14:paraId="5FF20C71" w14:textId="77777777" w:rsidTr="00346CBA">
              <w:trPr>
                <w:trHeight w:val="523"/>
                <w:jc w:val="center"/>
              </w:trPr>
              <w:tc>
                <w:tcPr>
                  <w:tcW w:w="2755"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5AB17E93" w14:textId="77777777" w:rsidR="00C65278"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SMSA Envelope</w:t>
                  </w:r>
                </w:p>
                <w:p w14:paraId="6651A750"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(Priority Letter)</w:t>
                  </w:r>
                </w:p>
              </w:tc>
              <w:tc>
                <w:tcPr>
                  <w:tcW w:w="4320" w:type="dxa"/>
                  <w:tcBorders>
                    <w:bottom w:val="single" w:sz="8" w:space="0" w:color="auto"/>
                    <w:right w:val="single" w:sz="8" w:space="0" w:color="auto"/>
                  </w:tcBorders>
                  <w:tcMar>
                    <w:top w:w="0" w:type="dxa"/>
                    <w:left w:w="108" w:type="dxa"/>
                    <w:bottom w:w="0" w:type="dxa"/>
                    <w:right w:w="108" w:type="dxa"/>
                  </w:tcMar>
                  <w:vAlign w:val="center"/>
                </w:tcPr>
                <w:p w14:paraId="658CA710"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 xml:space="preserve">US$ 100 or US$9.07 </w:t>
                  </w:r>
                  <w:proofErr w:type="spellStart"/>
                  <w:r w:rsidRPr="00346CBA">
                    <w:rPr>
                      <w:rFonts w:asciiTheme="minorHAnsi" w:hAnsiTheme="minorHAnsi" w:cs="Calibri"/>
                      <w:sz w:val="20"/>
                      <w:szCs w:val="20"/>
                    </w:rPr>
                    <w:t>lb</w:t>
                  </w:r>
                  <w:proofErr w:type="spellEnd"/>
                  <w:r w:rsidRPr="00346CBA">
                    <w:rPr>
                      <w:rFonts w:asciiTheme="minorHAnsi" w:hAnsiTheme="minorHAnsi" w:cs="Calibri"/>
                      <w:sz w:val="20"/>
                      <w:szCs w:val="20"/>
                    </w:rPr>
                    <w:t>, whichever is more</w:t>
                  </w:r>
                </w:p>
              </w:tc>
            </w:tr>
            <w:tr w:rsidR="0018523E" w:rsidRPr="006049F8" w14:paraId="404F944F" w14:textId="77777777" w:rsidTr="00346CBA">
              <w:trPr>
                <w:trHeight w:val="523"/>
                <w:jc w:val="center"/>
              </w:trPr>
              <w:tc>
                <w:tcPr>
                  <w:tcW w:w="2755"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3D44003"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SMSA Pak</w:t>
                  </w:r>
                </w:p>
              </w:tc>
              <w:tc>
                <w:tcPr>
                  <w:tcW w:w="4320" w:type="dxa"/>
                  <w:tcBorders>
                    <w:bottom w:val="single" w:sz="8" w:space="0" w:color="auto"/>
                    <w:right w:val="single" w:sz="8" w:space="0" w:color="auto"/>
                  </w:tcBorders>
                  <w:tcMar>
                    <w:top w:w="0" w:type="dxa"/>
                    <w:left w:w="108" w:type="dxa"/>
                    <w:bottom w:w="0" w:type="dxa"/>
                    <w:right w:w="108" w:type="dxa"/>
                  </w:tcMar>
                  <w:vAlign w:val="center"/>
                </w:tcPr>
                <w:p w14:paraId="60A8A1AF"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 xml:space="preserve">US$ 100 or US$9.07 </w:t>
                  </w:r>
                  <w:proofErr w:type="spellStart"/>
                  <w:r w:rsidRPr="00346CBA">
                    <w:rPr>
                      <w:rFonts w:asciiTheme="minorHAnsi" w:hAnsiTheme="minorHAnsi" w:cs="Calibri"/>
                      <w:sz w:val="20"/>
                      <w:szCs w:val="20"/>
                    </w:rPr>
                    <w:t>lb</w:t>
                  </w:r>
                  <w:proofErr w:type="spellEnd"/>
                  <w:r w:rsidRPr="00346CBA">
                    <w:rPr>
                      <w:rFonts w:asciiTheme="minorHAnsi" w:hAnsiTheme="minorHAnsi" w:cs="Calibri"/>
                      <w:sz w:val="20"/>
                      <w:szCs w:val="20"/>
                    </w:rPr>
                    <w:t>, whichever is more</w:t>
                  </w:r>
                </w:p>
              </w:tc>
            </w:tr>
            <w:tr w:rsidR="0018523E" w:rsidRPr="006049F8" w14:paraId="6B6C2836" w14:textId="77777777" w:rsidTr="00346CBA">
              <w:trPr>
                <w:trHeight w:val="523"/>
                <w:jc w:val="center"/>
              </w:trPr>
              <w:tc>
                <w:tcPr>
                  <w:tcW w:w="2755"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7F97D74"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All other packaging</w:t>
                  </w:r>
                </w:p>
              </w:tc>
              <w:tc>
                <w:tcPr>
                  <w:tcW w:w="4320" w:type="dxa"/>
                  <w:tcBorders>
                    <w:bottom w:val="single" w:sz="8" w:space="0" w:color="auto"/>
                    <w:right w:val="single" w:sz="8" w:space="0" w:color="auto"/>
                  </w:tcBorders>
                  <w:tcMar>
                    <w:top w:w="0" w:type="dxa"/>
                    <w:left w:w="108" w:type="dxa"/>
                    <w:bottom w:w="0" w:type="dxa"/>
                    <w:right w:w="108" w:type="dxa"/>
                  </w:tcMar>
                  <w:vAlign w:val="center"/>
                </w:tcPr>
                <w:p w14:paraId="494EB46A"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US$ 50,000 or the value limit set by customs in destination country, whichever is less</w:t>
                  </w:r>
                </w:p>
              </w:tc>
            </w:tr>
            <w:tr w:rsidR="0018523E" w:rsidRPr="006049F8" w14:paraId="183A2A81" w14:textId="77777777" w:rsidTr="00346CBA">
              <w:trPr>
                <w:trHeight w:val="523"/>
                <w:jc w:val="center"/>
              </w:trPr>
              <w:tc>
                <w:tcPr>
                  <w:tcW w:w="2755"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F4F9A6D"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A package containing item with extraordinary value</w:t>
                  </w:r>
                </w:p>
              </w:tc>
              <w:tc>
                <w:tcPr>
                  <w:tcW w:w="4320" w:type="dxa"/>
                  <w:tcBorders>
                    <w:bottom w:val="single" w:sz="8" w:space="0" w:color="auto"/>
                    <w:right w:val="single" w:sz="8" w:space="0" w:color="auto"/>
                  </w:tcBorders>
                  <w:tcMar>
                    <w:top w:w="0" w:type="dxa"/>
                    <w:left w:w="108" w:type="dxa"/>
                    <w:bottom w:w="0" w:type="dxa"/>
                    <w:right w:w="108" w:type="dxa"/>
                  </w:tcMar>
                  <w:vAlign w:val="center"/>
                </w:tcPr>
                <w:p w14:paraId="1BE4165A"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 xml:space="preserve">US$ 500 or US$9.07 </w:t>
                  </w:r>
                  <w:proofErr w:type="spellStart"/>
                  <w:r w:rsidRPr="00346CBA">
                    <w:rPr>
                      <w:rFonts w:asciiTheme="minorHAnsi" w:hAnsiTheme="minorHAnsi" w:cs="Calibri"/>
                      <w:sz w:val="20"/>
                      <w:szCs w:val="20"/>
                    </w:rPr>
                    <w:t>lb</w:t>
                  </w:r>
                  <w:proofErr w:type="spellEnd"/>
                  <w:r w:rsidRPr="00346CBA">
                    <w:rPr>
                      <w:rFonts w:asciiTheme="minorHAnsi" w:hAnsiTheme="minorHAnsi" w:cs="Calibri"/>
                      <w:sz w:val="20"/>
                      <w:szCs w:val="20"/>
                    </w:rPr>
                    <w:t>, whichever is more</w:t>
                  </w:r>
                </w:p>
              </w:tc>
            </w:tr>
            <w:tr w:rsidR="0018523E" w:rsidRPr="006049F8" w14:paraId="400B2886" w14:textId="77777777" w:rsidTr="00346CBA">
              <w:trPr>
                <w:trHeight w:val="523"/>
                <w:jc w:val="center"/>
              </w:trPr>
              <w:tc>
                <w:tcPr>
                  <w:tcW w:w="2755"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A7D45FF"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IP Shipments</w:t>
                  </w:r>
                </w:p>
              </w:tc>
              <w:tc>
                <w:tcPr>
                  <w:tcW w:w="4320" w:type="dxa"/>
                  <w:tcBorders>
                    <w:bottom w:val="single" w:sz="8" w:space="0" w:color="auto"/>
                    <w:right w:val="single" w:sz="8" w:space="0" w:color="auto"/>
                  </w:tcBorders>
                  <w:tcMar>
                    <w:top w:w="0" w:type="dxa"/>
                    <w:left w:w="108" w:type="dxa"/>
                    <w:bottom w:w="0" w:type="dxa"/>
                    <w:right w:w="108" w:type="dxa"/>
                  </w:tcMar>
                  <w:vAlign w:val="center"/>
                </w:tcPr>
                <w:p w14:paraId="02F304C8" w14:textId="77777777" w:rsidR="0018523E" w:rsidRPr="00346CBA" w:rsidRDefault="0018523E" w:rsidP="00346CBA">
                  <w:pPr>
                    <w:ind w:left="148" w:right="176"/>
                    <w:rPr>
                      <w:rFonts w:asciiTheme="minorHAnsi" w:hAnsiTheme="minorHAnsi" w:cs="Calibri"/>
                      <w:sz w:val="20"/>
                      <w:szCs w:val="20"/>
                    </w:rPr>
                  </w:pPr>
                  <w:r w:rsidRPr="00346CBA">
                    <w:rPr>
                      <w:rFonts w:asciiTheme="minorHAnsi" w:hAnsiTheme="minorHAnsi" w:cs="Calibri"/>
                      <w:sz w:val="20"/>
                      <w:szCs w:val="20"/>
                    </w:rPr>
                    <w:t>US$ 50,000</w:t>
                  </w:r>
                </w:p>
              </w:tc>
            </w:tr>
          </w:tbl>
          <w:p w14:paraId="071E7B8C"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37764C54" w14:textId="77777777" w:rsidR="0018523E" w:rsidRPr="006049F8" w:rsidRDefault="0018523E" w:rsidP="00E76B95">
            <w:pPr>
              <w:numPr>
                <w:ilvl w:val="0"/>
                <w:numId w:val="3"/>
              </w:numPr>
              <w:tabs>
                <w:tab w:val="clear" w:pos="360"/>
              </w:tabs>
              <w:ind w:left="688" w:right="176" w:hanging="270"/>
              <w:jc w:val="both"/>
              <w:rPr>
                <w:rFonts w:asciiTheme="minorHAnsi" w:hAnsiTheme="minorHAnsi" w:cs="Calibri"/>
              </w:rPr>
            </w:pPr>
            <w:r w:rsidRPr="006049F8">
              <w:rPr>
                <w:rFonts w:asciiTheme="minorHAnsi" w:hAnsiTheme="minorHAnsi" w:cs="Calibri"/>
              </w:rPr>
              <w:t>Be sure the DV limit for the destination does not exceed limits.</w:t>
            </w:r>
          </w:p>
          <w:p w14:paraId="505AFB45"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4D666E37"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Step</w:t>
            </w:r>
            <w:r w:rsidR="00E76B95">
              <w:rPr>
                <w:rFonts w:asciiTheme="minorHAnsi" w:hAnsiTheme="minorHAnsi" w:cs="Calibri"/>
              </w:rPr>
              <w:t xml:space="preserve"> </w:t>
            </w:r>
            <w:r w:rsidRPr="006049F8">
              <w:rPr>
                <w:rFonts w:asciiTheme="minorHAnsi" w:hAnsiTheme="minorHAnsi" w:cs="Calibri"/>
              </w:rPr>
              <w:t>2: Calculate declared value charges and write them on the air waybill</w:t>
            </w:r>
          </w:p>
          <w:p w14:paraId="6D9F2040"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0CA52326" w14:textId="77777777" w:rsidR="0018523E" w:rsidRPr="006049F8" w:rsidRDefault="0018523E" w:rsidP="00E76B95">
            <w:pPr>
              <w:numPr>
                <w:ilvl w:val="0"/>
                <w:numId w:val="3"/>
              </w:numPr>
              <w:tabs>
                <w:tab w:val="clear" w:pos="360"/>
              </w:tabs>
              <w:ind w:left="688" w:right="176" w:hanging="270"/>
              <w:jc w:val="both"/>
              <w:rPr>
                <w:rFonts w:asciiTheme="minorHAnsi" w:hAnsiTheme="minorHAnsi" w:cs="Calibri"/>
              </w:rPr>
            </w:pPr>
            <w:r w:rsidRPr="006049F8">
              <w:rPr>
                <w:rFonts w:asciiTheme="minorHAnsi" w:hAnsiTheme="minorHAnsi" w:cs="Calibri"/>
              </w:rPr>
              <w:t>Calculate the DV charges on a per-shipment basis (see below)</w:t>
            </w:r>
          </w:p>
          <w:p w14:paraId="364231DC" w14:textId="3196F25A" w:rsidR="0018523E" w:rsidRDefault="0018523E" w:rsidP="00E76B95">
            <w:pPr>
              <w:numPr>
                <w:ilvl w:val="0"/>
                <w:numId w:val="3"/>
              </w:numPr>
              <w:tabs>
                <w:tab w:val="clear" w:pos="360"/>
              </w:tabs>
              <w:ind w:left="688" w:right="176" w:hanging="270"/>
              <w:jc w:val="both"/>
              <w:rPr>
                <w:rFonts w:asciiTheme="minorHAnsi" w:hAnsiTheme="minorHAnsi" w:cs="Calibri"/>
              </w:rPr>
            </w:pPr>
            <w:r w:rsidRPr="006049F8">
              <w:rPr>
                <w:rFonts w:asciiTheme="minorHAnsi" w:hAnsiTheme="minorHAnsi" w:cs="Calibri"/>
              </w:rPr>
              <w:t>Important: Before you calculate DV charges subtract the default amount of SMSA liability (US</w:t>
            </w:r>
            <w:r w:rsidR="00AC6182">
              <w:rPr>
                <w:rFonts w:asciiTheme="minorHAnsi" w:hAnsiTheme="minorHAnsi" w:cstheme="minorHAnsi"/>
              </w:rPr>
              <w:t>$</w:t>
            </w:r>
            <w:r w:rsidRPr="006049F8">
              <w:rPr>
                <w:rFonts w:asciiTheme="minorHAnsi" w:hAnsiTheme="minorHAnsi" w:cs="Calibri"/>
              </w:rPr>
              <w:t>100 or US</w:t>
            </w:r>
            <w:r w:rsidR="00AC6182">
              <w:rPr>
                <w:rFonts w:asciiTheme="minorHAnsi" w:hAnsiTheme="minorHAnsi" w:cstheme="minorHAnsi"/>
              </w:rPr>
              <w:t>$</w:t>
            </w:r>
            <w:r w:rsidRPr="006049F8">
              <w:rPr>
                <w:rFonts w:asciiTheme="minorHAnsi" w:hAnsiTheme="minorHAnsi" w:cs="Calibri"/>
              </w:rPr>
              <w:t>9.07/</w:t>
            </w:r>
            <w:proofErr w:type="spellStart"/>
            <w:r w:rsidRPr="006049F8">
              <w:rPr>
                <w:rFonts w:asciiTheme="minorHAnsi" w:hAnsiTheme="minorHAnsi" w:cs="Calibri"/>
              </w:rPr>
              <w:t>lb</w:t>
            </w:r>
            <w:proofErr w:type="spellEnd"/>
            <w:r w:rsidRPr="006049F8">
              <w:rPr>
                <w:rFonts w:asciiTheme="minorHAnsi" w:hAnsiTheme="minorHAnsi" w:cs="Calibri"/>
              </w:rPr>
              <w:t>, whichever is more) from the amount the shipper declares.</w:t>
            </w:r>
            <w:permStart w:id="947585224" w:ed="eramos@smsaexpress.com"/>
            <w:permEnd w:id="947585224"/>
          </w:p>
          <w:p w14:paraId="247FA296" w14:textId="77777777" w:rsidR="00E76B95" w:rsidRPr="006049F8" w:rsidRDefault="00E76B95" w:rsidP="00E76B95">
            <w:pPr>
              <w:ind w:left="418" w:right="176"/>
              <w:jc w:val="both"/>
              <w:rPr>
                <w:rFonts w:asciiTheme="minorHAnsi" w:hAnsiTheme="minorHAnsi" w:cs="Calibri"/>
              </w:rPr>
            </w:pPr>
          </w:p>
          <w:tbl>
            <w:tblPr>
              <w:tblW w:w="0" w:type="auto"/>
              <w:tblInd w:w="678" w:type="dxa"/>
              <w:tblCellMar>
                <w:left w:w="0" w:type="dxa"/>
                <w:right w:w="0" w:type="dxa"/>
              </w:tblCellMar>
              <w:tblLook w:val="04A0" w:firstRow="1" w:lastRow="0" w:firstColumn="1" w:lastColumn="0" w:noHBand="0" w:noVBand="1"/>
            </w:tblPr>
            <w:tblGrid>
              <w:gridCol w:w="2430"/>
              <w:gridCol w:w="4680"/>
            </w:tblGrid>
            <w:tr w:rsidR="0018523E" w:rsidRPr="00C65278" w14:paraId="67A0A7BF" w14:textId="77777777" w:rsidTr="00CC763F">
              <w:trPr>
                <w:trHeight w:val="358"/>
              </w:trPr>
              <w:tc>
                <w:tcPr>
                  <w:tcW w:w="2430" w:type="dxa"/>
                  <w:tcBorders>
                    <w:top w:val="single" w:sz="8" w:space="0" w:color="auto"/>
                    <w:left w:val="single" w:sz="8" w:space="0" w:color="auto"/>
                    <w:bottom w:val="single" w:sz="8" w:space="0" w:color="auto"/>
                    <w:right w:val="single" w:sz="8" w:space="0" w:color="auto"/>
                  </w:tcBorders>
                  <w:shd w:val="clear" w:color="auto" w:fill="374A9C"/>
                  <w:tcMar>
                    <w:top w:w="0" w:type="dxa"/>
                    <w:left w:w="108" w:type="dxa"/>
                    <w:bottom w:w="0" w:type="dxa"/>
                    <w:right w:w="108" w:type="dxa"/>
                  </w:tcMar>
                  <w:vAlign w:val="center"/>
                </w:tcPr>
                <w:p w14:paraId="4F8D09EA" w14:textId="77777777" w:rsidR="0018523E" w:rsidRPr="00CC763F" w:rsidRDefault="0018523E" w:rsidP="00346303">
                  <w:pPr>
                    <w:ind w:left="148" w:right="176"/>
                    <w:jc w:val="center"/>
                    <w:rPr>
                      <w:rFonts w:asciiTheme="minorHAnsi" w:hAnsiTheme="minorHAnsi" w:cs="Calibri"/>
                      <w:b/>
                      <w:bCs/>
                      <w:color w:val="FFFFFF" w:themeColor="background1"/>
                      <w:sz w:val="20"/>
                      <w:szCs w:val="20"/>
                    </w:rPr>
                  </w:pPr>
                  <w:r w:rsidRPr="00CC763F">
                    <w:rPr>
                      <w:rFonts w:asciiTheme="minorHAnsi" w:hAnsiTheme="minorHAnsi" w:cs="Calibri"/>
                      <w:b/>
                      <w:bCs/>
                      <w:color w:val="FFFFFF" w:themeColor="background1"/>
                      <w:sz w:val="20"/>
                      <w:szCs w:val="20"/>
                    </w:rPr>
                    <w:t>D</w:t>
                  </w:r>
                  <w:r w:rsidR="00E76B95" w:rsidRPr="00CC763F">
                    <w:rPr>
                      <w:rFonts w:asciiTheme="minorHAnsi" w:hAnsiTheme="minorHAnsi" w:cs="Calibri"/>
                      <w:b/>
                      <w:bCs/>
                      <w:color w:val="FFFFFF" w:themeColor="background1"/>
                      <w:sz w:val="20"/>
                      <w:szCs w:val="20"/>
                    </w:rPr>
                    <w:t xml:space="preserve">eclared </w:t>
                  </w:r>
                  <w:r w:rsidRPr="00CC763F">
                    <w:rPr>
                      <w:rFonts w:asciiTheme="minorHAnsi" w:hAnsiTheme="minorHAnsi" w:cs="Calibri"/>
                      <w:b/>
                      <w:bCs/>
                      <w:color w:val="FFFFFF" w:themeColor="background1"/>
                      <w:sz w:val="20"/>
                      <w:szCs w:val="20"/>
                    </w:rPr>
                    <w:t>V</w:t>
                  </w:r>
                  <w:r w:rsidR="00E76B95" w:rsidRPr="00CC763F">
                    <w:rPr>
                      <w:rFonts w:asciiTheme="minorHAnsi" w:hAnsiTheme="minorHAnsi" w:cs="Calibri"/>
                      <w:b/>
                      <w:bCs/>
                      <w:color w:val="FFFFFF" w:themeColor="background1"/>
                      <w:sz w:val="20"/>
                      <w:szCs w:val="20"/>
                    </w:rPr>
                    <w:t>alue</w:t>
                  </w:r>
                </w:p>
              </w:tc>
              <w:tc>
                <w:tcPr>
                  <w:tcW w:w="4680" w:type="dxa"/>
                  <w:tcBorders>
                    <w:top w:val="single" w:sz="8" w:space="0" w:color="auto"/>
                    <w:bottom w:val="single" w:sz="8" w:space="0" w:color="auto"/>
                    <w:right w:val="single" w:sz="8" w:space="0" w:color="auto"/>
                  </w:tcBorders>
                  <w:shd w:val="clear" w:color="auto" w:fill="374A9C"/>
                  <w:tcMar>
                    <w:top w:w="0" w:type="dxa"/>
                    <w:left w:w="108" w:type="dxa"/>
                    <w:bottom w:w="0" w:type="dxa"/>
                    <w:right w:w="108" w:type="dxa"/>
                  </w:tcMar>
                  <w:vAlign w:val="center"/>
                </w:tcPr>
                <w:p w14:paraId="70C24367" w14:textId="77777777" w:rsidR="0018523E" w:rsidRPr="00CC763F" w:rsidRDefault="00346303" w:rsidP="00346303">
                  <w:pPr>
                    <w:ind w:left="148" w:right="176"/>
                    <w:jc w:val="center"/>
                    <w:rPr>
                      <w:rFonts w:asciiTheme="minorHAnsi" w:hAnsiTheme="minorHAnsi" w:cs="Calibri"/>
                      <w:b/>
                      <w:bCs/>
                      <w:color w:val="FFFFFF" w:themeColor="background1"/>
                      <w:sz w:val="20"/>
                      <w:szCs w:val="20"/>
                    </w:rPr>
                  </w:pPr>
                  <w:r w:rsidRPr="00CC763F">
                    <w:rPr>
                      <w:rFonts w:asciiTheme="minorHAnsi" w:hAnsiTheme="minorHAnsi" w:cs="Calibri"/>
                      <w:b/>
                      <w:bCs/>
                      <w:color w:val="FFFFFF" w:themeColor="background1"/>
                      <w:sz w:val="20"/>
                      <w:szCs w:val="20"/>
                    </w:rPr>
                    <w:t>Applicable C</w:t>
                  </w:r>
                  <w:r w:rsidR="0018523E" w:rsidRPr="00CC763F">
                    <w:rPr>
                      <w:rFonts w:asciiTheme="minorHAnsi" w:hAnsiTheme="minorHAnsi" w:cs="Calibri"/>
                      <w:b/>
                      <w:bCs/>
                      <w:color w:val="FFFFFF" w:themeColor="background1"/>
                      <w:sz w:val="20"/>
                      <w:szCs w:val="20"/>
                    </w:rPr>
                    <w:t>harge</w:t>
                  </w:r>
                  <w:r w:rsidR="00346CBA" w:rsidRPr="00CC763F">
                    <w:rPr>
                      <w:rFonts w:asciiTheme="minorHAnsi" w:hAnsiTheme="minorHAnsi" w:cs="Calibri"/>
                      <w:b/>
                      <w:bCs/>
                      <w:color w:val="FFFFFF" w:themeColor="background1"/>
                      <w:sz w:val="20"/>
                      <w:szCs w:val="20"/>
                    </w:rPr>
                    <w:t>s</w:t>
                  </w:r>
                </w:p>
              </w:tc>
            </w:tr>
            <w:tr w:rsidR="0018523E" w:rsidRPr="00C65278" w14:paraId="3FFFAB0F" w14:textId="77777777" w:rsidTr="00346CBA">
              <w:trPr>
                <w:trHeight w:val="614"/>
              </w:trPr>
              <w:tc>
                <w:tcPr>
                  <w:tcW w:w="243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95048CB" w14:textId="77777777" w:rsidR="0018523E" w:rsidRPr="00C65278" w:rsidRDefault="0018523E" w:rsidP="000E7050">
                  <w:pPr>
                    <w:ind w:left="148" w:right="176"/>
                    <w:jc w:val="both"/>
                    <w:rPr>
                      <w:rFonts w:asciiTheme="minorHAnsi" w:hAnsiTheme="minorHAnsi" w:cs="Calibri"/>
                      <w:sz w:val="20"/>
                      <w:szCs w:val="20"/>
                    </w:rPr>
                  </w:pPr>
                  <w:r w:rsidRPr="00C65278">
                    <w:rPr>
                      <w:rFonts w:asciiTheme="minorHAnsi" w:hAnsiTheme="minorHAnsi" w:cs="Calibri"/>
                      <w:sz w:val="20"/>
                      <w:szCs w:val="20"/>
                    </w:rPr>
                    <w:t>US $ 100</w:t>
                  </w:r>
                </w:p>
              </w:tc>
              <w:tc>
                <w:tcPr>
                  <w:tcW w:w="4680" w:type="dxa"/>
                  <w:tcBorders>
                    <w:bottom w:val="single" w:sz="8" w:space="0" w:color="auto"/>
                    <w:right w:val="single" w:sz="8" w:space="0" w:color="auto"/>
                  </w:tcBorders>
                  <w:tcMar>
                    <w:top w:w="0" w:type="dxa"/>
                    <w:left w:w="108" w:type="dxa"/>
                    <w:bottom w:w="0" w:type="dxa"/>
                    <w:right w:w="108" w:type="dxa"/>
                  </w:tcMar>
                  <w:vAlign w:val="center"/>
                </w:tcPr>
                <w:p w14:paraId="380557A2" w14:textId="38820AE0" w:rsidR="0018523E" w:rsidRPr="00C65278" w:rsidRDefault="00343EF9" w:rsidP="000E7050">
                  <w:pPr>
                    <w:ind w:left="148" w:right="176"/>
                    <w:jc w:val="both"/>
                    <w:rPr>
                      <w:rFonts w:asciiTheme="minorHAnsi" w:hAnsiTheme="minorHAnsi" w:cs="Calibri"/>
                      <w:sz w:val="20"/>
                      <w:szCs w:val="20"/>
                    </w:rPr>
                  </w:pPr>
                  <w:r w:rsidRPr="00C65278">
                    <w:rPr>
                      <w:rFonts w:asciiTheme="minorHAnsi" w:hAnsiTheme="minorHAnsi" w:cs="Calibri"/>
                      <w:sz w:val="20"/>
                      <w:szCs w:val="20"/>
                    </w:rPr>
                    <w:t xml:space="preserve">None, </w:t>
                  </w:r>
                  <w:r w:rsidR="009717B3">
                    <w:rPr>
                      <w:rFonts w:asciiTheme="minorHAnsi" w:hAnsiTheme="minorHAnsi" w:cs="Calibri"/>
                      <w:sz w:val="20"/>
                      <w:szCs w:val="20"/>
                    </w:rPr>
                    <w:t>t</w:t>
                  </w:r>
                  <w:r w:rsidRPr="00C65278">
                    <w:rPr>
                      <w:rFonts w:asciiTheme="minorHAnsi" w:hAnsiTheme="minorHAnsi" w:cs="Calibri"/>
                      <w:sz w:val="20"/>
                      <w:szCs w:val="20"/>
                    </w:rPr>
                    <w:t>here are no</w:t>
                  </w:r>
                  <w:r w:rsidR="0018523E" w:rsidRPr="00C65278">
                    <w:rPr>
                      <w:rFonts w:asciiTheme="minorHAnsi" w:hAnsiTheme="minorHAnsi" w:cs="Calibri"/>
                      <w:sz w:val="20"/>
                      <w:szCs w:val="20"/>
                    </w:rPr>
                    <w:t xml:space="preserve"> charges.</w:t>
                  </w:r>
                </w:p>
              </w:tc>
            </w:tr>
            <w:tr w:rsidR="0018523E" w:rsidRPr="00C65278" w14:paraId="0383A10C" w14:textId="77777777" w:rsidTr="00346CBA">
              <w:trPr>
                <w:trHeight w:val="614"/>
              </w:trPr>
              <w:tc>
                <w:tcPr>
                  <w:tcW w:w="2430" w:type="dxa"/>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E5223AF" w14:textId="77777777" w:rsidR="0018523E" w:rsidRPr="00C65278" w:rsidRDefault="0018523E" w:rsidP="00346CBA">
                  <w:pPr>
                    <w:ind w:left="148" w:right="176"/>
                    <w:jc w:val="both"/>
                    <w:rPr>
                      <w:rFonts w:asciiTheme="minorHAnsi" w:hAnsiTheme="minorHAnsi" w:cs="Calibri"/>
                      <w:sz w:val="20"/>
                      <w:szCs w:val="20"/>
                    </w:rPr>
                  </w:pPr>
                  <w:r w:rsidRPr="00C65278">
                    <w:rPr>
                      <w:rFonts w:asciiTheme="minorHAnsi" w:hAnsiTheme="minorHAnsi" w:cs="Calibri"/>
                      <w:sz w:val="20"/>
                      <w:szCs w:val="20"/>
                    </w:rPr>
                    <w:t>US $ 101</w:t>
                  </w:r>
                  <w:r w:rsidR="00346CBA">
                    <w:rPr>
                      <w:rFonts w:asciiTheme="minorHAnsi" w:hAnsiTheme="minorHAnsi" w:cs="Calibri"/>
                      <w:sz w:val="20"/>
                      <w:szCs w:val="20"/>
                    </w:rPr>
                    <w:t xml:space="preserve"> –</w:t>
                  </w:r>
                  <w:r w:rsidRPr="00C65278">
                    <w:rPr>
                      <w:rFonts w:asciiTheme="minorHAnsi" w:hAnsiTheme="minorHAnsi" w:cs="Calibri"/>
                      <w:sz w:val="20"/>
                      <w:szCs w:val="20"/>
                    </w:rPr>
                    <w:t xml:space="preserve"> US $ 50,000</w:t>
                  </w:r>
                </w:p>
              </w:tc>
              <w:tc>
                <w:tcPr>
                  <w:tcW w:w="4680" w:type="dxa"/>
                  <w:tcBorders>
                    <w:bottom w:val="single" w:sz="8" w:space="0" w:color="auto"/>
                    <w:right w:val="single" w:sz="8" w:space="0" w:color="auto"/>
                  </w:tcBorders>
                  <w:tcMar>
                    <w:top w:w="0" w:type="dxa"/>
                    <w:left w:w="108" w:type="dxa"/>
                    <w:bottom w:w="0" w:type="dxa"/>
                    <w:right w:w="108" w:type="dxa"/>
                  </w:tcMar>
                  <w:vAlign w:val="center"/>
                </w:tcPr>
                <w:p w14:paraId="402FC41F" w14:textId="77777777" w:rsidR="0018523E" w:rsidRPr="00C65278" w:rsidRDefault="0018523E" w:rsidP="000E7050">
                  <w:pPr>
                    <w:ind w:left="148" w:right="176"/>
                    <w:jc w:val="both"/>
                    <w:rPr>
                      <w:rFonts w:asciiTheme="minorHAnsi" w:hAnsiTheme="minorHAnsi" w:cs="Calibri"/>
                      <w:sz w:val="20"/>
                      <w:szCs w:val="20"/>
                    </w:rPr>
                  </w:pPr>
                  <w:r w:rsidRPr="00C65278">
                    <w:rPr>
                      <w:rFonts w:asciiTheme="minorHAnsi" w:hAnsiTheme="minorHAnsi" w:cs="Calibri"/>
                      <w:sz w:val="20"/>
                      <w:szCs w:val="20"/>
                    </w:rPr>
                    <w:t>US $ 0.40 for each US $ 100</w:t>
                  </w:r>
                  <w:r w:rsidR="00424A04">
                    <w:rPr>
                      <w:rFonts w:asciiTheme="minorHAnsi" w:hAnsiTheme="minorHAnsi" w:cs="Calibri"/>
                      <w:sz w:val="20"/>
                      <w:szCs w:val="20"/>
                    </w:rPr>
                    <w:t xml:space="preserve"> </w:t>
                  </w:r>
                  <w:r w:rsidRPr="00C65278">
                    <w:rPr>
                      <w:rFonts w:asciiTheme="minorHAnsi" w:hAnsiTheme="minorHAnsi" w:cs="Calibri"/>
                      <w:sz w:val="20"/>
                      <w:szCs w:val="20"/>
                    </w:rPr>
                    <w:t>(or fraction thereof)</w:t>
                  </w:r>
                  <w:r w:rsidR="00346303">
                    <w:rPr>
                      <w:rFonts w:asciiTheme="minorHAnsi" w:hAnsiTheme="minorHAnsi" w:cs="Calibri"/>
                      <w:sz w:val="20"/>
                      <w:szCs w:val="20"/>
                    </w:rPr>
                    <w:t xml:space="preserve"> </w:t>
                  </w:r>
                  <w:r w:rsidRPr="00C65278">
                    <w:rPr>
                      <w:rFonts w:asciiTheme="minorHAnsi" w:hAnsiTheme="minorHAnsi" w:cs="Calibri"/>
                      <w:sz w:val="20"/>
                      <w:szCs w:val="20"/>
                    </w:rPr>
                    <w:t xml:space="preserve">declared over the default over the default </w:t>
                  </w:r>
                  <w:proofErr w:type="gramStart"/>
                  <w:r w:rsidRPr="00C65278">
                    <w:rPr>
                      <w:rFonts w:asciiTheme="minorHAnsi" w:hAnsiTheme="minorHAnsi" w:cs="Calibri"/>
                      <w:sz w:val="20"/>
                      <w:szCs w:val="20"/>
                    </w:rPr>
                    <w:t>amount</w:t>
                  </w:r>
                  <w:proofErr w:type="gramEnd"/>
                  <w:r w:rsidRPr="00C65278">
                    <w:rPr>
                      <w:rFonts w:asciiTheme="minorHAnsi" w:hAnsiTheme="minorHAnsi" w:cs="Calibri"/>
                      <w:sz w:val="20"/>
                      <w:szCs w:val="20"/>
                    </w:rPr>
                    <w:t xml:space="preserve"> of US $ 100</w:t>
                  </w:r>
                </w:p>
              </w:tc>
            </w:tr>
          </w:tbl>
          <w:p w14:paraId="6BC5FD48" w14:textId="77777777" w:rsidR="0018523E" w:rsidRPr="006049F8" w:rsidRDefault="0018523E" w:rsidP="000E7050">
            <w:pPr>
              <w:ind w:left="148" w:right="176"/>
              <w:jc w:val="both"/>
              <w:rPr>
                <w:rFonts w:asciiTheme="minorHAnsi" w:hAnsiTheme="minorHAnsi" w:cs="Calibri"/>
              </w:rPr>
            </w:pPr>
            <w:r w:rsidRPr="006049F8">
              <w:rPr>
                <w:rFonts w:asciiTheme="minorHAnsi" w:hAnsiTheme="minorHAnsi" w:cs="Calibri"/>
              </w:rPr>
              <w:t> </w:t>
            </w:r>
          </w:p>
          <w:p w14:paraId="2592AEA4" w14:textId="77777777" w:rsidR="0018523E" w:rsidRPr="006049F8" w:rsidRDefault="0018523E" w:rsidP="00C65278">
            <w:pPr>
              <w:numPr>
                <w:ilvl w:val="0"/>
                <w:numId w:val="4"/>
              </w:numPr>
              <w:tabs>
                <w:tab w:val="clear" w:pos="360"/>
              </w:tabs>
              <w:ind w:left="688" w:right="176" w:hanging="270"/>
              <w:rPr>
                <w:rFonts w:asciiTheme="minorHAnsi" w:hAnsiTheme="minorHAnsi" w:cs="Calibri"/>
              </w:rPr>
            </w:pPr>
            <w:r w:rsidRPr="006049F8">
              <w:rPr>
                <w:rFonts w:asciiTheme="minorHAnsi" w:hAnsiTheme="minorHAnsi" w:cs="Calibri"/>
              </w:rPr>
              <w:t>Write the total charges on the air waybill in whole US dollars:</w:t>
            </w:r>
          </w:p>
          <w:p w14:paraId="07428A3F" w14:textId="6EE1C0B2" w:rsidR="0018523E" w:rsidRPr="006049F8" w:rsidRDefault="0018523E" w:rsidP="00C65278">
            <w:pPr>
              <w:ind w:left="148" w:right="176"/>
              <w:rPr>
                <w:rFonts w:asciiTheme="minorHAnsi" w:hAnsiTheme="minorHAnsi" w:cs="Calibri"/>
              </w:rPr>
            </w:pPr>
            <w:r w:rsidRPr="006049F8">
              <w:rPr>
                <w:rFonts w:asciiTheme="minorHAnsi" w:hAnsiTheme="minorHAnsi" w:cs="Calibri"/>
              </w:rPr>
              <w:br/>
              <w:t>A)</w:t>
            </w:r>
            <w:r w:rsidR="00C65278">
              <w:rPr>
                <w:rFonts w:asciiTheme="minorHAnsi" w:hAnsiTheme="minorHAnsi" w:cs="Calibri"/>
              </w:rPr>
              <w:t xml:space="preserve"> “</w:t>
            </w:r>
            <w:r w:rsidRPr="006049F8">
              <w:rPr>
                <w:rFonts w:asciiTheme="minorHAnsi" w:hAnsiTheme="minorHAnsi" w:cs="Calibri"/>
              </w:rPr>
              <w:t>Dec.</w:t>
            </w:r>
            <w:r w:rsidR="00CC763F">
              <w:rPr>
                <w:rFonts w:asciiTheme="minorHAnsi" w:hAnsiTheme="minorHAnsi" w:cs="Calibri"/>
              </w:rPr>
              <w:t xml:space="preserve"> </w:t>
            </w:r>
            <w:r w:rsidRPr="006049F8">
              <w:rPr>
                <w:rFonts w:asciiTheme="minorHAnsi" w:hAnsiTheme="minorHAnsi" w:cs="Calibri"/>
              </w:rPr>
              <w:t>Val.</w:t>
            </w:r>
            <w:r w:rsidR="00CC763F">
              <w:rPr>
                <w:rFonts w:asciiTheme="minorHAnsi" w:hAnsiTheme="minorHAnsi" w:cs="Calibri"/>
              </w:rPr>
              <w:t xml:space="preserve"> </w:t>
            </w:r>
            <w:proofErr w:type="spellStart"/>
            <w:r w:rsidRPr="006049F8">
              <w:rPr>
                <w:rFonts w:asciiTheme="minorHAnsi" w:hAnsiTheme="minorHAnsi" w:cs="Calibri"/>
              </w:rPr>
              <w:t>Chrg</w:t>
            </w:r>
            <w:proofErr w:type="spellEnd"/>
            <w:r w:rsidR="009717B3">
              <w:rPr>
                <w:rFonts w:asciiTheme="minorHAnsi" w:hAnsiTheme="minorHAnsi" w:cs="Calibri"/>
              </w:rPr>
              <w:t>.</w:t>
            </w:r>
            <w:r w:rsidRPr="006049F8">
              <w:rPr>
                <w:rFonts w:asciiTheme="minorHAnsi" w:hAnsiTheme="minorHAnsi" w:cs="Calibri"/>
              </w:rPr>
              <w:t>”- For SMSA USE ONLY section (Short Form)</w:t>
            </w:r>
            <w:r w:rsidRPr="006049F8">
              <w:rPr>
                <w:rFonts w:asciiTheme="minorHAnsi" w:hAnsiTheme="minorHAnsi" w:cs="Calibri"/>
              </w:rPr>
              <w:br/>
              <w:t xml:space="preserve">B) </w:t>
            </w:r>
            <w:r w:rsidR="00C65278">
              <w:rPr>
                <w:rFonts w:asciiTheme="minorHAnsi" w:hAnsiTheme="minorHAnsi" w:cs="Calibri"/>
              </w:rPr>
              <w:t>“</w:t>
            </w:r>
            <w:r w:rsidRPr="006049F8">
              <w:rPr>
                <w:rFonts w:asciiTheme="minorHAnsi" w:hAnsiTheme="minorHAnsi" w:cs="Calibri"/>
              </w:rPr>
              <w:t>Declared Value” – TOTAL CHARGES section (Long form)</w:t>
            </w:r>
            <w:r w:rsidRPr="006049F8">
              <w:rPr>
                <w:rFonts w:asciiTheme="minorHAnsi" w:hAnsiTheme="minorHAnsi" w:cs="Calibri"/>
              </w:rPr>
              <w:br/>
              <w:t>C) Appropriate box and section, depending on version</w:t>
            </w:r>
            <w:r w:rsidR="009717B3">
              <w:rPr>
                <w:rFonts w:asciiTheme="minorHAnsi" w:hAnsiTheme="minorHAnsi" w:cs="Calibri"/>
              </w:rPr>
              <w:t xml:space="preserve"> </w:t>
            </w:r>
            <w:r w:rsidRPr="006049F8">
              <w:rPr>
                <w:rFonts w:asciiTheme="minorHAnsi" w:hAnsiTheme="minorHAnsi" w:cs="Calibri"/>
              </w:rPr>
              <w:t>(Long form)</w:t>
            </w:r>
          </w:p>
          <w:p w14:paraId="1EBE3D00" w14:textId="52090178" w:rsidR="0018523E" w:rsidRDefault="0018523E" w:rsidP="000E7050">
            <w:pPr>
              <w:ind w:left="148" w:right="176"/>
              <w:jc w:val="both"/>
              <w:rPr>
                <w:rFonts w:asciiTheme="minorHAnsi" w:hAnsiTheme="minorHAnsi" w:cs="Calibri"/>
              </w:rPr>
            </w:pPr>
            <w:r w:rsidRPr="006049F8">
              <w:rPr>
                <w:rFonts w:asciiTheme="minorHAnsi" w:hAnsiTheme="minorHAnsi" w:cs="Calibri"/>
              </w:rPr>
              <w:br/>
              <w:t xml:space="preserve">Important: </w:t>
            </w:r>
            <w:r w:rsidR="009717B3">
              <w:rPr>
                <w:rFonts w:asciiTheme="minorHAnsi" w:hAnsiTheme="minorHAnsi" w:cs="Calibri"/>
              </w:rPr>
              <w:t>A</w:t>
            </w:r>
            <w:r w:rsidRPr="006049F8">
              <w:rPr>
                <w:rFonts w:asciiTheme="minorHAnsi" w:hAnsiTheme="minorHAnsi" w:cs="Calibri"/>
                <w:iCs/>
              </w:rPr>
              <w:t>lways add the DV, charge to the base charge and other charges for the total shipment charges</w:t>
            </w:r>
            <w:r w:rsidRPr="006049F8">
              <w:rPr>
                <w:rFonts w:asciiTheme="minorHAnsi" w:hAnsiTheme="minorHAnsi" w:cs="Calibri"/>
              </w:rPr>
              <w:t>.</w:t>
            </w:r>
          </w:p>
          <w:p w14:paraId="0336DFA0" w14:textId="77777777" w:rsidR="00C65278" w:rsidRPr="006049F8" w:rsidRDefault="00C65278" w:rsidP="000E7050">
            <w:pPr>
              <w:ind w:left="148" w:right="176"/>
              <w:jc w:val="both"/>
              <w:rPr>
                <w:rFonts w:asciiTheme="minorHAnsi" w:hAnsiTheme="minorHAnsi" w:cs="Calibri"/>
              </w:rPr>
            </w:pPr>
          </w:p>
        </w:tc>
      </w:tr>
    </w:tbl>
    <w:p w14:paraId="55411A12" w14:textId="77777777" w:rsidR="00AF2B48" w:rsidRPr="00B94068" w:rsidRDefault="00AF2B48" w:rsidP="00842BE6">
      <w:pPr>
        <w:rPr>
          <w:rFonts w:asciiTheme="minorHAnsi" w:hAnsiTheme="minorHAnsi" w:cs="Calibri"/>
        </w:rPr>
      </w:pPr>
    </w:p>
    <w:sectPr w:rsidR="00AF2B48" w:rsidRPr="00B94068" w:rsidSect="009B7076">
      <w:headerReference w:type="default" r:id="rId8"/>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CFF3" w14:textId="77777777" w:rsidR="0012449C" w:rsidRDefault="0012449C">
      <w:r>
        <w:separator/>
      </w:r>
    </w:p>
  </w:endnote>
  <w:endnote w:type="continuationSeparator" w:id="0">
    <w:p w14:paraId="7BBA2602" w14:textId="77777777" w:rsidR="0012449C" w:rsidRDefault="0012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76098429"/>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p w14:paraId="47E9780D" w14:textId="77777777" w:rsidR="003B5C10" w:rsidRPr="003B5C10" w:rsidRDefault="003B5C10" w:rsidP="003B5C10">
            <w:pPr>
              <w:pStyle w:val="Footer"/>
              <w:jc w:val="center"/>
              <w:rPr>
                <w:rFonts w:asciiTheme="minorHAnsi" w:hAnsiTheme="minorHAnsi" w:cstheme="minorHAnsi"/>
                <w:b/>
                <w:bCs/>
                <w:sz w:val="22"/>
                <w:szCs w:val="22"/>
              </w:rPr>
            </w:pPr>
            <w:r w:rsidRPr="003B5C10">
              <w:rPr>
                <w:rFonts w:asciiTheme="minorHAnsi" w:hAnsiTheme="minorHAnsi" w:cstheme="minorHAnsi"/>
                <w:sz w:val="22"/>
                <w:szCs w:val="22"/>
              </w:rPr>
              <w:t xml:space="preserve">Page </w:t>
            </w:r>
            <w:r w:rsidRPr="003B5C10">
              <w:rPr>
                <w:rFonts w:asciiTheme="minorHAnsi" w:hAnsiTheme="minorHAnsi" w:cstheme="minorHAnsi"/>
                <w:b/>
                <w:bCs/>
                <w:sz w:val="22"/>
                <w:szCs w:val="22"/>
              </w:rPr>
              <w:fldChar w:fldCharType="begin"/>
            </w:r>
            <w:r w:rsidRPr="003B5C10">
              <w:rPr>
                <w:rFonts w:asciiTheme="minorHAnsi" w:hAnsiTheme="minorHAnsi" w:cstheme="minorHAnsi"/>
                <w:b/>
                <w:bCs/>
                <w:sz w:val="22"/>
                <w:szCs w:val="22"/>
              </w:rPr>
              <w:instrText xml:space="preserve"> PAGE </w:instrText>
            </w:r>
            <w:r w:rsidRPr="003B5C10">
              <w:rPr>
                <w:rFonts w:asciiTheme="minorHAnsi" w:hAnsiTheme="minorHAnsi" w:cstheme="minorHAnsi"/>
                <w:b/>
                <w:bCs/>
                <w:sz w:val="22"/>
                <w:szCs w:val="22"/>
              </w:rPr>
              <w:fldChar w:fldCharType="separate"/>
            </w:r>
            <w:r w:rsidRPr="003B5C10">
              <w:rPr>
                <w:rFonts w:asciiTheme="minorHAnsi" w:hAnsiTheme="minorHAnsi" w:cstheme="minorHAnsi"/>
                <w:b/>
                <w:bCs/>
                <w:noProof/>
                <w:sz w:val="22"/>
                <w:szCs w:val="22"/>
              </w:rPr>
              <w:t>2</w:t>
            </w:r>
            <w:r w:rsidRPr="003B5C10">
              <w:rPr>
                <w:rFonts w:asciiTheme="minorHAnsi" w:hAnsiTheme="minorHAnsi" w:cstheme="minorHAnsi"/>
                <w:b/>
                <w:bCs/>
                <w:sz w:val="22"/>
                <w:szCs w:val="22"/>
              </w:rPr>
              <w:fldChar w:fldCharType="end"/>
            </w:r>
            <w:r w:rsidRPr="003B5C10">
              <w:rPr>
                <w:rFonts w:asciiTheme="minorHAnsi" w:hAnsiTheme="minorHAnsi" w:cstheme="minorHAnsi"/>
                <w:sz w:val="22"/>
                <w:szCs w:val="22"/>
              </w:rPr>
              <w:t xml:space="preserve"> of </w:t>
            </w:r>
            <w:r w:rsidRPr="003B5C10">
              <w:rPr>
                <w:rFonts w:asciiTheme="minorHAnsi" w:hAnsiTheme="minorHAnsi" w:cstheme="minorHAnsi"/>
                <w:b/>
                <w:bCs/>
                <w:sz w:val="22"/>
                <w:szCs w:val="22"/>
              </w:rPr>
              <w:fldChar w:fldCharType="begin"/>
            </w:r>
            <w:r w:rsidRPr="003B5C10">
              <w:rPr>
                <w:rFonts w:asciiTheme="minorHAnsi" w:hAnsiTheme="minorHAnsi" w:cstheme="minorHAnsi"/>
                <w:b/>
                <w:bCs/>
                <w:sz w:val="22"/>
                <w:szCs w:val="22"/>
              </w:rPr>
              <w:instrText xml:space="preserve"> NUMPAGES  </w:instrText>
            </w:r>
            <w:r w:rsidRPr="003B5C10">
              <w:rPr>
                <w:rFonts w:asciiTheme="minorHAnsi" w:hAnsiTheme="minorHAnsi" w:cstheme="minorHAnsi"/>
                <w:b/>
                <w:bCs/>
                <w:sz w:val="22"/>
                <w:szCs w:val="22"/>
              </w:rPr>
              <w:fldChar w:fldCharType="separate"/>
            </w:r>
            <w:r w:rsidRPr="003B5C10">
              <w:rPr>
                <w:rFonts w:asciiTheme="minorHAnsi" w:hAnsiTheme="minorHAnsi" w:cstheme="minorHAnsi"/>
                <w:b/>
                <w:bCs/>
                <w:noProof/>
                <w:sz w:val="22"/>
                <w:szCs w:val="22"/>
              </w:rPr>
              <w:t>2</w:t>
            </w:r>
            <w:r w:rsidRPr="003B5C10">
              <w:rPr>
                <w:rFonts w:asciiTheme="minorHAnsi" w:hAnsiTheme="minorHAnsi" w:cstheme="minorHAnsi"/>
                <w:b/>
                <w:bCs/>
                <w:sz w:val="22"/>
                <w:szCs w:val="22"/>
              </w:rPr>
              <w:fldChar w:fldCharType="end"/>
            </w:r>
          </w:p>
          <w:p w14:paraId="3BA0AB5F" w14:textId="5BBD56AB" w:rsidR="003B5C10" w:rsidRPr="003B5C10" w:rsidRDefault="003B5C10" w:rsidP="003B5C10">
            <w:pPr>
              <w:pStyle w:val="Footer"/>
              <w:jc w:val="center"/>
              <w:rPr>
                <w:rFonts w:asciiTheme="minorHAnsi" w:hAnsiTheme="minorHAnsi" w:cstheme="minorHAnsi"/>
                <w:sz w:val="22"/>
                <w:szCs w:val="22"/>
              </w:rPr>
            </w:pPr>
            <w:r w:rsidRPr="003B5C10">
              <w:rPr>
                <w:rFonts w:asciiTheme="minorHAnsi" w:hAnsiTheme="minorHAnsi" w:cstheme="minorHAnsi"/>
                <w:sz w:val="22"/>
                <w:szCs w:val="22"/>
              </w:rPr>
              <w:t>Uncontrolled copy if printed</w:t>
            </w:r>
          </w:p>
        </w:sdtContent>
      </w:sdt>
    </w:sdtContent>
  </w:sdt>
  <w:p w14:paraId="2A85AA26" w14:textId="02812E16" w:rsidR="00424A04" w:rsidRPr="003B5C10" w:rsidRDefault="00424A04" w:rsidP="003B5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7767" w14:textId="77777777" w:rsidR="0012449C" w:rsidRDefault="0012449C">
      <w:r>
        <w:separator/>
      </w:r>
    </w:p>
  </w:footnote>
  <w:footnote w:type="continuationSeparator" w:id="0">
    <w:p w14:paraId="1048A16E" w14:textId="77777777" w:rsidR="0012449C" w:rsidRDefault="0012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424A04" w:rsidRPr="00B94068" w14:paraId="6D68D752" w14:textId="77777777" w:rsidTr="00EA5EAD">
      <w:trPr>
        <w:jc w:val="center"/>
      </w:trPr>
      <w:tc>
        <w:tcPr>
          <w:tcW w:w="4230" w:type="dxa"/>
        </w:tcPr>
        <w:p w14:paraId="7ADFDA71" w14:textId="6B504BFD" w:rsidR="00424A04" w:rsidRPr="007C10A0" w:rsidRDefault="00EA5EAD" w:rsidP="006049F8">
          <w:pPr>
            <w:pStyle w:val="Header"/>
            <w:rPr>
              <w:rFonts w:ascii="Tahoma" w:hAnsi="Tahoma" w:cs="Tahoma"/>
              <w:noProof/>
              <w:sz w:val="22"/>
              <w:szCs w:val="22"/>
            </w:rPr>
          </w:pPr>
          <w:r>
            <w:rPr>
              <w:noProof/>
            </w:rPr>
            <w:drawing>
              <wp:inline distT="0" distB="0" distL="0" distR="0" wp14:anchorId="02801363" wp14:editId="067474CA">
                <wp:extent cx="1197864" cy="292608"/>
                <wp:effectExtent l="0" t="0" r="2540" b="0"/>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p>
      </w:tc>
      <w:tc>
        <w:tcPr>
          <w:tcW w:w="6390" w:type="dxa"/>
        </w:tcPr>
        <w:p w14:paraId="78CC1D81" w14:textId="165C4720" w:rsidR="00424A04" w:rsidRPr="00B94068" w:rsidRDefault="00424A04" w:rsidP="009C2BE5">
          <w:pPr>
            <w:pStyle w:val="Header"/>
            <w:jc w:val="right"/>
            <w:rPr>
              <w:rFonts w:asciiTheme="minorHAnsi" w:hAnsiTheme="minorHAnsi" w:cs="Calibri"/>
              <w:b/>
              <w:noProof/>
              <w:sz w:val="32"/>
              <w:szCs w:val="32"/>
            </w:rPr>
          </w:pPr>
          <w:r>
            <w:rPr>
              <w:rFonts w:asciiTheme="minorHAnsi" w:hAnsiTheme="minorHAnsi" w:cs="Calibri"/>
              <w:b/>
              <w:noProof/>
              <w:sz w:val="32"/>
              <w:szCs w:val="32"/>
            </w:rPr>
            <w:t xml:space="preserve">Declared Value </w:t>
          </w:r>
          <w:r w:rsidRPr="00B94068">
            <w:rPr>
              <w:rFonts w:asciiTheme="minorHAnsi" w:hAnsiTheme="minorHAnsi" w:cs="Calibri"/>
              <w:b/>
              <w:noProof/>
              <w:sz w:val="32"/>
              <w:szCs w:val="32"/>
            </w:rPr>
            <w:t>Work Instructions</w:t>
          </w:r>
        </w:p>
        <w:p w14:paraId="4994D2D3" w14:textId="77777777" w:rsidR="00424A04" w:rsidRPr="006049F8" w:rsidRDefault="00424A04" w:rsidP="006049F8">
          <w:pPr>
            <w:pStyle w:val="Header"/>
            <w:jc w:val="right"/>
            <w:rPr>
              <w:rFonts w:asciiTheme="minorHAnsi" w:hAnsiTheme="minorHAnsi" w:cs="Calibri"/>
              <w:noProof/>
            </w:rPr>
          </w:pPr>
          <w:r w:rsidRPr="00B94068">
            <w:rPr>
              <w:rFonts w:asciiTheme="minorHAnsi" w:hAnsiTheme="minorHAnsi" w:cs="Calibri"/>
              <w:noProof/>
            </w:rPr>
            <w:t>Owner/ Department:</w:t>
          </w:r>
          <w:r w:rsidR="00CC763F">
            <w:rPr>
              <w:rFonts w:asciiTheme="minorHAnsi" w:hAnsiTheme="minorHAnsi" w:cs="Calibri"/>
              <w:noProof/>
            </w:rPr>
            <w:t xml:space="preserve"> IBU-BAH,</w:t>
          </w:r>
          <w:r w:rsidRPr="00B94068">
            <w:rPr>
              <w:rFonts w:asciiTheme="minorHAnsi" w:hAnsiTheme="minorHAnsi" w:cs="Calibri"/>
              <w:noProof/>
            </w:rPr>
            <w:t xml:space="preserve">  Operations</w:t>
          </w:r>
        </w:p>
      </w:tc>
    </w:tr>
  </w:tbl>
  <w:p w14:paraId="6A19497E" w14:textId="77777777" w:rsidR="00424A04" w:rsidRPr="007C10A0" w:rsidRDefault="00424A04" w:rsidP="00607DB0">
    <w:pPr>
      <w:pStyle w:val="Header"/>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D037E"/>
    <w:multiLevelType w:val="hybridMultilevel"/>
    <w:tmpl w:val="F4143E94"/>
    <w:lvl w:ilvl="0" w:tplc="91AAD29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13663F3"/>
    <w:multiLevelType w:val="hybridMultilevel"/>
    <w:tmpl w:val="35AECD3C"/>
    <w:lvl w:ilvl="0" w:tplc="91AAD29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C2F6098"/>
    <w:multiLevelType w:val="hybridMultilevel"/>
    <w:tmpl w:val="D2EC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830C8"/>
    <w:multiLevelType w:val="hybridMultilevel"/>
    <w:tmpl w:val="2AF2FF34"/>
    <w:lvl w:ilvl="0" w:tplc="91AAD292">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AC09CB"/>
    <w:multiLevelType w:val="hybridMultilevel"/>
    <w:tmpl w:val="D1A2C2D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00958424">
    <w:abstractNumId w:val="4"/>
  </w:num>
  <w:num w:numId="2" w16cid:durableId="21707713">
    <w:abstractNumId w:val="3"/>
  </w:num>
  <w:num w:numId="3" w16cid:durableId="977615649">
    <w:abstractNumId w:val="0"/>
  </w:num>
  <w:num w:numId="4" w16cid:durableId="648828350">
    <w:abstractNumId w:val="1"/>
  </w:num>
  <w:num w:numId="5" w16cid:durableId="192953997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E0F"/>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17C"/>
    <w:rsid w:val="0003047D"/>
    <w:rsid w:val="0003048C"/>
    <w:rsid w:val="000309E0"/>
    <w:rsid w:val="00031045"/>
    <w:rsid w:val="00031CAB"/>
    <w:rsid w:val="000324B6"/>
    <w:rsid w:val="00032644"/>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C2F"/>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3E87"/>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4DF"/>
    <w:rsid w:val="00080A70"/>
    <w:rsid w:val="00080E28"/>
    <w:rsid w:val="0008103E"/>
    <w:rsid w:val="00082457"/>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50"/>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49C"/>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3D14"/>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3C8"/>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23E"/>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B90"/>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52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6D41"/>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B9B"/>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063D"/>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0F"/>
    <w:rsid w:val="002A1530"/>
    <w:rsid w:val="002A1C26"/>
    <w:rsid w:val="002A2030"/>
    <w:rsid w:val="002A229A"/>
    <w:rsid w:val="002A284C"/>
    <w:rsid w:val="002A2F97"/>
    <w:rsid w:val="002A31C7"/>
    <w:rsid w:val="002A39FC"/>
    <w:rsid w:val="002A43D9"/>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364"/>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3DC"/>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28"/>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3EF9"/>
    <w:rsid w:val="003442B0"/>
    <w:rsid w:val="003442DE"/>
    <w:rsid w:val="00344666"/>
    <w:rsid w:val="00344D90"/>
    <w:rsid w:val="00344E9C"/>
    <w:rsid w:val="003453E4"/>
    <w:rsid w:val="00345440"/>
    <w:rsid w:val="00345B3C"/>
    <w:rsid w:val="0034622F"/>
    <w:rsid w:val="00346303"/>
    <w:rsid w:val="0034681B"/>
    <w:rsid w:val="00346C0E"/>
    <w:rsid w:val="00346CBA"/>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497"/>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1DEF"/>
    <w:rsid w:val="00382831"/>
    <w:rsid w:val="00383057"/>
    <w:rsid w:val="0038326A"/>
    <w:rsid w:val="00383699"/>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AF9"/>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C10"/>
    <w:rsid w:val="003B6448"/>
    <w:rsid w:val="003B6606"/>
    <w:rsid w:val="003B6A28"/>
    <w:rsid w:val="003B6D73"/>
    <w:rsid w:val="003B735A"/>
    <w:rsid w:val="003B763B"/>
    <w:rsid w:val="003B7652"/>
    <w:rsid w:val="003B785D"/>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56E"/>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654"/>
    <w:rsid w:val="003D4A19"/>
    <w:rsid w:val="003D4D10"/>
    <w:rsid w:val="003D5475"/>
    <w:rsid w:val="003D54EB"/>
    <w:rsid w:val="003D55EB"/>
    <w:rsid w:val="003D5FC6"/>
    <w:rsid w:val="003D62D9"/>
    <w:rsid w:val="003D7830"/>
    <w:rsid w:val="003D7AA2"/>
    <w:rsid w:val="003D7DF3"/>
    <w:rsid w:val="003E01E2"/>
    <w:rsid w:val="003E0973"/>
    <w:rsid w:val="003E0B01"/>
    <w:rsid w:val="003E0FD3"/>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AE3"/>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04"/>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5CE8"/>
    <w:rsid w:val="00446213"/>
    <w:rsid w:val="004462F3"/>
    <w:rsid w:val="004463BA"/>
    <w:rsid w:val="00446595"/>
    <w:rsid w:val="0044740D"/>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C03"/>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36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9B6"/>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9B2"/>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014"/>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5CB2"/>
    <w:rsid w:val="004F635F"/>
    <w:rsid w:val="004F64A0"/>
    <w:rsid w:val="004F6929"/>
    <w:rsid w:val="004F6AA2"/>
    <w:rsid w:val="004F6C4C"/>
    <w:rsid w:val="004F6F54"/>
    <w:rsid w:val="005000F5"/>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9F9"/>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CC0"/>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D06"/>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5FDA"/>
    <w:rsid w:val="005A7371"/>
    <w:rsid w:val="005A7B45"/>
    <w:rsid w:val="005B04FF"/>
    <w:rsid w:val="005B0C62"/>
    <w:rsid w:val="005B0C99"/>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54"/>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1A8"/>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49F8"/>
    <w:rsid w:val="006051BC"/>
    <w:rsid w:val="0060555D"/>
    <w:rsid w:val="006055B2"/>
    <w:rsid w:val="00605723"/>
    <w:rsid w:val="0060615C"/>
    <w:rsid w:val="00606177"/>
    <w:rsid w:val="00607488"/>
    <w:rsid w:val="00607DB0"/>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068B"/>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090"/>
    <w:rsid w:val="006C5CF2"/>
    <w:rsid w:val="006C6139"/>
    <w:rsid w:val="006C61F1"/>
    <w:rsid w:val="006C6246"/>
    <w:rsid w:val="006C683C"/>
    <w:rsid w:val="006C6B97"/>
    <w:rsid w:val="006C7615"/>
    <w:rsid w:val="006C7935"/>
    <w:rsid w:val="006D0224"/>
    <w:rsid w:val="006D03D6"/>
    <w:rsid w:val="006D11F7"/>
    <w:rsid w:val="006D177C"/>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6D7"/>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6F7F"/>
    <w:rsid w:val="007A7A81"/>
    <w:rsid w:val="007B03EA"/>
    <w:rsid w:val="007B093B"/>
    <w:rsid w:val="007B0A0E"/>
    <w:rsid w:val="007B0D86"/>
    <w:rsid w:val="007B112F"/>
    <w:rsid w:val="007B11F4"/>
    <w:rsid w:val="007B1360"/>
    <w:rsid w:val="007B2503"/>
    <w:rsid w:val="007B2997"/>
    <w:rsid w:val="007B2B24"/>
    <w:rsid w:val="007B2D07"/>
    <w:rsid w:val="007B2E34"/>
    <w:rsid w:val="007B2F2C"/>
    <w:rsid w:val="007B34C0"/>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10A0"/>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7F7A8B"/>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2BE6"/>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389C"/>
    <w:rsid w:val="00874E37"/>
    <w:rsid w:val="00874FD9"/>
    <w:rsid w:val="00875044"/>
    <w:rsid w:val="00875217"/>
    <w:rsid w:val="0087527C"/>
    <w:rsid w:val="00875580"/>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71D"/>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56EB"/>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A82"/>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069"/>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016"/>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7B3"/>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C86"/>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34"/>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076"/>
    <w:rsid w:val="009B77E8"/>
    <w:rsid w:val="009B7801"/>
    <w:rsid w:val="009C01C2"/>
    <w:rsid w:val="009C052E"/>
    <w:rsid w:val="009C0E44"/>
    <w:rsid w:val="009C139D"/>
    <w:rsid w:val="009C14AA"/>
    <w:rsid w:val="009C20E5"/>
    <w:rsid w:val="009C2BE5"/>
    <w:rsid w:val="009C2F67"/>
    <w:rsid w:val="009C303D"/>
    <w:rsid w:val="009C307E"/>
    <w:rsid w:val="009C3679"/>
    <w:rsid w:val="009C3B56"/>
    <w:rsid w:val="009C3CC6"/>
    <w:rsid w:val="009C3F06"/>
    <w:rsid w:val="009C4514"/>
    <w:rsid w:val="009C4998"/>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9A"/>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CBE"/>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A69"/>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BD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24D"/>
    <w:rsid w:val="00A54421"/>
    <w:rsid w:val="00A54844"/>
    <w:rsid w:val="00A54D8E"/>
    <w:rsid w:val="00A553BB"/>
    <w:rsid w:val="00A55F2E"/>
    <w:rsid w:val="00A56610"/>
    <w:rsid w:val="00A56BB5"/>
    <w:rsid w:val="00A5705E"/>
    <w:rsid w:val="00A5750F"/>
    <w:rsid w:val="00A575FA"/>
    <w:rsid w:val="00A57F81"/>
    <w:rsid w:val="00A61B8E"/>
    <w:rsid w:val="00A61BA1"/>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22C"/>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0EC"/>
    <w:rsid w:val="00AB624B"/>
    <w:rsid w:val="00AB6EB7"/>
    <w:rsid w:val="00AB766F"/>
    <w:rsid w:val="00AB79F0"/>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182"/>
    <w:rsid w:val="00AC66E5"/>
    <w:rsid w:val="00AC69DD"/>
    <w:rsid w:val="00AC6BF2"/>
    <w:rsid w:val="00AC7151"/>
    <w:rsid w:val="00AD06F8"/>
    <w:rsid w:val="00AD0C72"/>
    <w:rsid w:val="00AD10FC"/>
    <w:rsid w:val="00AD21BD"/>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6F8"/>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530"/>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9A1"/>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06"/>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2BF"/>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068"/>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2AFE"/>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0DE"/>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3A"/>
    <w:rsid w:val="00BB7FCE"/>
    <w:rsid w:val="00BC090F"/>
    <w:rsid w:val="00BC106A"/>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95D"/>
    <w:rsid w:val="00BD4A7F"/>
    <w:rsid w:val="00BD4E1B"/>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00A"/>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6F7B"/>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278"/>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613"/>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0FD8"/>
    <w:rsid w:val="00C9152F"/>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63F"/>
    <w:rsid w:val="00CC57CD"/>
    <w:rsid w:val="00CC5892"/>
    <w:rsid w:val="00CC62EA"/>
    <w:rsid w:val="00CC64EF"/>
    <w:rsid w:val="00CC6F78"/>
    <w:rsid w:val="00CC7226"/>
    <w:rsid w:val="00CC736D"/>
    <w:rsid w:val="00CC763F"/>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953"/>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53E"/>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58E"/>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3DC"/>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A7B"/>
    <w:rsid w:val="00D85C21"/>
    <w:rsid w:val="00D85DD0"/>
    <w:rsid w:val="00D85F50"/>
    <w:rsid w:val="00D863DA"/>
    <w:rsid w:val="00D86600"/>
    <w:rsid w:val="00D86761"/>
    <w:rsid w:val="00D86985"/>
    <w:rsid w:val="00D87744"/>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A9E"/>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D9E"/>
    <w:rsid w:val="00DE2024"/>
    <w:rsid w:val="00DE260A"/>
    <w:rsid w:val="00DE2825"/>
    <w:rsid w:val="00DE2E81"/>
    <w:rsid w:val="00DE33F8"/>
    <w:rsid w:val="00DE34EF"/>
    <w:rsid w:val="00DE359E"/>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721"/>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4A3"/>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2A0"/>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66C"/>
    <w:rsid w:val="00E73FD8"/>
    <w:rsid w:val="00E74161"/>
    <w:rsid w:val="00E74557"/>
    <w:rsid w:val="00E749D5"/>
    <w:rsid w:val="00E74BC5"/>
    <w:rsid w:val="00E74F56"/>
    <w:rsid w:val="00E758C0"/>
    <w:rsid w:val="00E759EA"/>
    <w:rsid w:val="00E75D0F"/>
    <w:rsid w:val="00E76879"/>
    <w:rsid w:val="00E76B95"/>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5EAD"/>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3EA"/>
    <w:rsid w:val="00F04792"/>
    <w:rsid w:val="00F052A9"/>
    <w:rsid w:val="00F055C2"/>
    <w:rsid w:val="00F058E2"/>
    <w:rsid w:val="00F059A6"/>
    <w:rsid w:val="00F0647D"/>
    <w:rsid w:val="00F06875"/>
    <w:rsid w:val="00F068C5"/>
    <w:rsid w:val="00F0732D"/>
    <w:rsid w:val="00F1027A"/>
    <w:rsid w:val="00F105FA"/>
    <w:rsid w:val="00F111E5"/>
    <w:rsid w:val="00F113D5"/>
    <w:rsid w:val="00F1162E"/>
    <w:rsid w:val="00F118DD"/>
    <w:rsid w:val="00F11984"/>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341"/>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3DE"/>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273"/>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6F79"/>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0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C7B17"/>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B5239"/>
  <w15:docId w15:val="{042EDB79-B782-4ECA-8C57-1A172F26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B093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607DB0"/>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AE36F8"/>
    <w:rPr>
      <w:rFonts w:cs="Times New Roman"/>
      <w:sz w:val="24"/>
      <w:szCs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3D4654"/>
    <w:rPr>
      <w:rFonts w:cs="Times New Roman"/>
      <w:i/>
      <w:iCs/>
    </w:rPr>
  </w:style>
  <w:style w:type="paragraph" w:styleId="NormalWeb">
    <w:name w:val="Normal (Web)"/>
    <w:basedOn w:val="Normal"/>
    <w:uiPriority w:val="99"/>
    <w:locked/>
    <w:rsid w:val="00D87744"/>
    <w:pPr>
      <w:spacing w:before="100" w:beforeAutospacing="1" w:after="100" w:afterAutospacing="1"/>
    </w:pPr>
  </w:style>
  <w:style w:type="paragraph" w:styleId="ListParagraph">
    <w:name w:val="List Paragraph"/>
    <w:basedOn w:val="Normal"/>
    <w:uiPriority w:val="34"/>
    <w:qFormat/>
    <w:locked/>
    <w:rsid w:val="005B0C99"/>
    <w:pPr>
      <w:ind w:left="720"/>
    </w:pPr>
  </w:style>
  <w:style w:type="paragraph" w:styleId="BalloonText">
    <w:name w:val="Balloon Text"/>
    <w:basedOn w:val="Normal"/>
    <w:link w:val="BalloonTextChar"/>
    <w:uiPriority w:val="99"/>
    <w:locked/>
    <w:rsid w:val="00BB30DE"/>
    <w:rPr>
      <w:rFonts w:ascii="Tahoma" w:hAnsi="Tahoma" w:cs="Tahoma"/>
      <w:sz w:val="16"/>
      <w:szCs w:val="16"/>
    </w:rPr>
  </w:style>
  <w:style w:type="character" w:customStyle="1" w:styleId="BalloonTextChar">
    <w:name w:val="Balloon Text Char"/>
    <w:basedOn w:val="DefaultParagraphFont"/>
    <w:link w:val="BalloonText"/>
    <w:uiPriority w:val="99"/>
    <w:locked/>
    <w:rsid w:val="00BB3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FDE0D-CF67-4840-99E4-0F927DF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2016-11-20T06:29:00Z</cp:lastPrinted>
  <dcterms:created xsi:type="dcterms:W3CDTF">2025-09-09T09:47:00Z</dcterms:created>
  <dcterms:modified xsi:type="dcterms:W3CDTF">2025-09-09T09:47:00Z</dcterms:modified>
</cp:coreProperties>
</file>