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3782" w14:textId="77777777" w:rsidR="00182EC9" w:rsidRPr="0006400F" w:rsidRDefault="00A11DD0" w:rsidP="00A11DD0">
      <w:pPr>
        <w:spacing w:after="0"/>
        <w:ind w:left="-90"/>
        <w:jc w:val="both"/>
        <w:rPr>
          <w:rFonts w:ascii="Arial Narrow" w:hAnsi="Arial Narrow" w:cs="Trebuchet MS"/>
          <w:b/>
          <w:bCs/>
          <w:sz w:val="20"/>
          <w:szCs w:val="20"/>
        </w:rPr>
      </w:pPr>
      <w:r w:rsidRPr="0006400F">
        <w:rPr>
          <w:rFonts w:ascii="Arial Narrow" w:hAnsi="Arial Narrow" w:cs="Trebuchet MS"/>
          <w:b/>
          <w:bCs/>
          <w:sz w:val="20"/>
          <w:szCs w:val="20"/>
        </w:rPr>
        <w:t xml:space="preserve"> </w:t>
      </w:r>
      <w:r w:rsidR="00182EC9" w:rsidRPr="0006400F">
        <w:rPr>
          <w:rFonts w:ascii="Arial Narrow" w:hAnsi="Arial Narrow" w:cs="Trebuchet MS"/>
          <w:b/>
          <w:bCs/>
          <w:sz w:val="20"/>
          <w:szCs w:val="20"/>
        </w:rPr>
        <w:t>(“Terms and Conditions”)</w:t>
      </w:r>
    </w:p>
    <w:p w14:paraId="026F48CD" w14:textId="77777777" w:rsidR="00A11DD0" w:rsidRPr="0006400F" w:rsidRDefault="00A11DD0" w:rsidP="00A11DD0">
      <w:pPr>
        <w:spacing w:after="0"/>
        <w:ind w:left="-90"/>
        <w:jc w:val="both"/>
        <w:rPr>
          <w:rFonts w:ascii="Arial Narrow" w:hAnsi="Arial Narrow" w:cs="Trebuchet MS"/>
          <w:b/>
          <w:bCs/>
          <w:sz w:val="20"/>
          <w:szCs w:val="20"/>
        </w:rPr>
      </w:pPr>
    </w:p>
    <w:p w14:paraId="02489A65" w14:textId="77777777" w:rsidR="00182EC9" w:rsidRPr="0006400F" w:rsidRDefault="00182EC9" w:rsidP="00A11DD0">
      <w:pPr>
        <w:spacing w:after="0"/>
        <w:ind w:left="-90"/>
        <w:jc w:val="both"/>
        <w:rPr>
          <w:rFonts w:ascii="Arial Narrow" w:hAnsi="Arial Narrow" w:cs="Trebuchet MS"/>
          <w:sz w:val="20"/>
          <w:szCs w:val="20"/>
        </w:rPr>
      </w:pPr>
      <w:r w:rsidRPr="0006400F">
        <w:rPr>
          <w:rFonts w:ascii="Arial Narrow" w:hAnsi="Arial Narrow" w:cs="Trebuchet MS"/>
          <w:sz w:val="20"/>
          <w:szCs w:val="20"/>
        </w:rPr>
        <w:t xml:space="preserve">This appendix is an integral part of this and in case of conflict between the standard terms and conditions and the terms and </w:t>
      </w:r>
      <w:r w:rsidR="00A11DD0" w:rsidRPr="0006400F">
        <w:rPr>
          <w:rFonts w:ascii="Arial Narrow" w:hAnsi="Arial Narrow" w:cs="Trebuchet MS"/>
          <w:sz w:val="20"/>
          <w:szCs w:val="20"/>
        </w:rPr>
        <w:t>c</w:t>
      </w:r>
      <w:r w:rsidRPr="0006400F">
        <w:rPr>
          <w:rFonts w:ascii="Arial Narrow" w:hAnsi="Arial Narrow" w:cs="Trebuchet MS"/>
          <w:sz w:val="20"/>
          <w:szCs w:val="20"/>
        </w:rPr>
        <w:t>onditions stated in SMSA air waybill or any other carriage document, these standard carriage terms and conditions (or any other appendices attached thereto) shall govern and apply</w:t>
      </w:r>
      <w:r w:rsidRPr="0006400F">
        <w:rPr>
          <w:rFonts w:ascii="Arial Narrow" w:hAnsi="Arial Narrow" w:cs="Trebuchet MS"/>
          <w:b/>
          <w:bCs/>
          <w:sz w:val="20"/>
          <w:szCs w:val="20"/>
        </w:rPr>
        <w:t xml:space="preserve"> </w:t>
      </w:r>
      <w:r w:rsidRPr="0006400F">
        <w:rPr>
          <w:rFonts w:ascii="Arial Narrow" w:hAnsi="Arial Narrow" w:cs="Trebuchet MS"/>
          <w:sz w:val="20"/>
          <w:szCs w:val="20"/>
        </w:rPr>
        <w:t>to the extent that they are not in contradiction with the rules relating to air carriage liabilities expressed in the air carriage regulations or international treaties. Non-compliance to impose or apply any of the articles or provisions of these terms and conditions of carriage shall not constitute a waiver of that term or article or annul it in any way SMSA’s right to impose or apply that article or provisions in future.</w:t>
      </w:r>
    </w:p>
    <w:p w14:paraId="3657D7D5" w14:textId="77777777" w:rsidR="00182EC9" w:rsidRPr="0006400F" w:rsidRDefault="00182EC9" w:rsidP="00A11DD0">
      <w:pPr>
        <w:spacing w:after="0"/>
        <w:ind w:left="-90"/>
        <w:jc w:val="both"/>
        <w:rPr>
          <w:rFonts w:ascii="Arial Narrow" w:hAnsi="Arial Narrow" w:cs="Trebuchet MS"/>
          <w:sz w:val="20"/>
          <w:szCs w:val="20"/>
        </w:rPr>
      </w:pPr>
    </w:p>
    <w:p w14:paraId="62FFC743" w14:textId="77777777" w:rsidR="00182EC9" w:rsidRPr="0006400F" w:rsidRDefault="00182EC9" w:rsidP="00A11DD0">
      <w:pPr>
        <w:pStyle w:val="ListParagraph"/>
        <w:widowControl/>
        <w:numPr>
          <w:ilvl w:val="0"/>
          <w:numId w:val="1"/>
        </w:numPr>
        <w:tabs>
          <w:tab w:val="left" w:pos="270"/>
        </w:tabs>
        <w:spacing w:before="0" w:after="0"/>
        <w:ind w:left="450" w:right="0" w:firstLine="0"/>
        <w:rPr>
          <w:rFonts w:ascii="Arial Narrow" w:hAnsi="Arial Narrow" w:cs="Trebuchet MS"/>
          <w:b/>
          <w:bCs/>
          <w:szCs w:val="20"/>
        </w:rPr>
      </w:pPr>
      <w:r w:rsidRPr="0006400F">
        <w:rPr>
          <w:rFonts w:ascii="Arial Narrow" w:hAnsi="Arial Narrow" w:cs="Trebuchet MS"/>
          <w:b/>
          <w:bCs/>
          <w:szCs w:val="20"/>
        </w:rPr>
        <w:t>Account numbers</w:t>
      </w:r>
    </w:p>
    <w:p w14:paraId="098C3314" w14:textId="77777777" w:rsidR="00182EC9" w:rsidRPr="0006400F" w:rsidRDefault="00182EC9" w:rsidP="00A11DD0">
      <w:pPr>
        <w:pStyle w:val="ListParagraph"/>
        <w:tabs>
          <w:tab w:val="left" w:pos="270"/>
        </w:tabs>
        <w:spacing w:before="0" w:after="0"/>
        <w:ind w:left="450"/>
        <w:rPr>
          <w:rFonts w:ascii="Arial Narrow" w:hAnsi="Arial Narrow" w:cs="Trebuchet MS"/>
          <w:szCs w:val="20"/>
        </w:rPr>
      </w:pPr>
      <w:r w:rsidRPr="0006400F">
        <w:rPr>
          <w:rFonts w:ascii="Arial Narrow" w:hAnsi="Arial Narrow" w:cs="Trebuchet MS"/>
          <w:szCs w:val="20"/>
        </w:rPr>
        <w:t>To ensure the proper movement of shipments, the CUSTOMER shall have a valid credit account with SMSA.  The use of a valid A/C with SMSA will lead to:</w:t>
      </w:r>
    </w:p>
    <w:p w14:paraId="629042A8"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Sending SMSA invoices to the CUSTOMER’s correct location</w:t>
      </w:r>
    </w:p>
    <w:p w14:paraId="535A104E"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Summarizing the account activity by SMSA devices</w:t>
      </w:r>
    </w:p>
    <w:p w14:paraId="4130620B"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Proper billing - CUSTOMER will be legally held responsible for safeguarding the account numbers and shall not disclose it to anyone other than the persons authorized to ship using that account. The use of the CUSTOMER’s account number by those authorized is at the CUSTOMER’s sole risk.</w:t>
      </w:r>
    </w:p>
    <w:p w14:paraId="782E1470" w14:textId="77777777" w:rsidR="00182EC9" w:rsidRPr="0006400F" w:rsidRDefault="00182EC9" w:rsidP="00A11DD0">
      <w:pPr>
        <w:tabs>
          <w:tab w:val="left" w:pos="270"/>
        </w:tabs>
        <w:spacing w:after="0"/>
        <w:ind w:left="450"/>
        <w:jc w:val="both"/>
        <w:rPr>
          <w:rFonts w:ascii="Arial Narrow" w:hAnsi="Arial Narrow" w:cs="Trebuchet MS"/>
          <w:sz w:val="20"/>
          <w:szCs w:val="20"/>
        </w:rPr>
      </w:pPr>
    </w:p>
    <w:p w14:paraId="1AD301BA"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t>Correcting Addresses</w:t>
      </w:r>
    </w:p>
    <w:p w14:paraId="2BF60BEC"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CUSTOMER is entirely responsible for writing the addressee’s full address on the air waybill. However, if the addressee’s address is found to be not complete or incorrect, SMSA shall not be held accountable for its inability to carry out delivery under these circumstances. Incorrect postal codes, non-existing apartment numbers and names of streets where the recipients previously lived are examples of the addresses that need correction.</w:t>
      </w:r>
    </w:p>
    <w:p w14:paraId="19341DED"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SMSA shall not be held accountable for not meeting its delivery time commitment for any shipment having an incomplete or incorrect address and in all such cases there is no fixed delivery time.</w:t>
      </w:r>
    </w:p>
    <w:p w14:paraId="7F6CC19E" w14:textId="77777777" w:rsidR="00182EC9" w:rsidRPr="0006400F" w:rsidRDefault="00182EC9" w:rsidP="00A11DD0">
      <w:pPr>
        <w:tabs>
          <w:tab w:val="left" w:pos="270"/>
        </w:tabs>
        <w:spacing w:after="0"/>
        <w:ind w:left="450"/>
        <w:jc w:val="both"/>
        <w:rPr>
          <w:rFonts w:ascii="Arial Narrow" w:hAnsi="Arial Narrow" w:cs="Trebuchet MS"/>
          <w:b/>
          <w:bCs/>
          <w:sz w:val="20"/>
          <w:szCs w:val="20"/>
        </w:rPr>
      </w:pPr>
    </w:p>
    <w:p w14:paraId="0A4CD744"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t>Billing</w:t>
      </w:r>
    </w:p>
    <w:p w14:paraId="40EB11C3"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Sender’s account number shall appear in the designated place on the air waybill and must be valid. The Sender is always ultimately liable for all charges and fees relating to a shipment, including, but not limited to any duties or taxes which SMSA have advanced, regardless of any payment instructions to the contrary.</w:t>
      </w:r>
    </w:p>
    <w:p w14:paraId="15153950"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SMSA reserves the right to audit the air waybill to verify the service selected and the weight of the parcel or shipment. If the service selected or the weight entered is not correct, SMSA shall make the appropriate adjustment to the invoice at any time.</w:t>
      </w:r>
    </w:p>
    <w:p w14:paraId="6A4472E0"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CUSTOMER is responsible for the accuracy of filling out the air waybill to ensure the correct entry of shipment information in any automatically operated means of shipping as the number of parcels and weight of every parcel are deemed necessary information for SMSA so that it can prepare the invoices properly. If CUSTOMER does not abide by providing SMSA with the correct data and address the invoice will be prepared according to the number of transported parcels and the weight of every parcel as amended and adjusted by SMSA.</w:t>
      </w:r>
    </w:p>
    <w:p w14:paraId="5EF7D9C8" w14:textId="77777777" w:rsidR="00182EC9" w:rsidRPr="0006400F" w:rsidRDefault="00182EC9" w:rsidP="00A11DD0">
      <w:pPr>
        <w:pStyle w:val="ListParagraph"/>
        <w:tabs>
          <w:tab w:val="left" w:pos="270"/>
        </w:tabs>
        <w:spacing w:before="0" w:after="0"/>
        <w:ind w:left="450"/>
        <w:rPr>
          <w:rFonts w:ascii="Arial Narrow" w:hAnsi="Arial Narrow" w:cs="Trebuchet MS"/>
          <w:szCs w:val="20"/>
        </w:rPr>
      </w:pPr>
    </w:p>
    <w:p w14:paraId="656AC8C3"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t>Claims:</w:t>
      </w:r>
    </w:p>
    <w:p w14:paraId="4CA4CB63"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All claims will be handled by CUSTOMER.</w:t>
      </w:r>
    </w:p>
    <w:p w14:paraId="691B7A0A"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All claims due to loss, damage, delay, shortage or deterioration and losses resulting from damage caused by delay or late delivery in the “Territory” must be made to SMSA in writing within one week as from the scheduled time of the shipment delivery.</w:t>
      </w:r>
    </w:p>
    <w:p w14:paraId="5E25D31B"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SMSA if needed, will forward incident report with required supporting to CUSTOMER within 30 days of receipt of the claim.</w:t>
      </w:r>
    </w:p>
    <w:p w14:paraId="6C20AE37" w14:textId="77777777" w:rsidR="005116FD" w:rsidRPr="0006400F" w:rsidRDefault="005116FD" w:rsidP="00A11DD0">
      <w:pPr>
        <w:pStyle w:val="ListParagraph"/>
        <w:tabs>
          <w:tab w:val="left" w:pos="270"/>
        </w:tabs>
        <w:spacing w:before="0" w:after="0"/>
        <w:ind w:left="450"/>
        <w:rPr>
          <w:rFonts w:ascii="Arial Narrow" w:hAnsi="Arial Narrow" w:cs="Trebuchet MS"/>
          <w:szCs w:val="20"/>
        </w:rPr>
      </w:pPr>
    </w:p>
    <w:p w14:paraId="3CC8540A"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t>Dimensional Weight (Metric or volumetric weight)</w:t>
      </w:r>
    </w:p>
    <w:p w14:paraId="6C4CD860" w14:textId="77777777" w:rsidR="00182EC9" w:rsidRPr="0006400F" w:rsidRDefault="00182EC9" w:rsidP="00A11DD0">
      <w:pPr>
        <w:pStyle w:val="ListParagraph"/>
        <w:tabs>
          <w:tab w:val="left" w:pos="270"/>
        </w:tabs>
        <w:spacing w:before="0" w:after="0"/>
        <w:ind w:left="450"/>
        <w:rPr>
          <w:rFonts w:ascii="Arial Narrow" w:hAnsi="Arial Narrow" w:cs="Trebuchet MS"/>
          <w:szCs w:val="20"/>
        </w:rPr>
      </w:pPr>
      <w:r w:rsidRPr="0006400F">
        <w:rPr>
          <w:rFonts w:ascii="Arial Narrow" w:hAnsi="Arial Narrow" w:cs="Trebuchet MS"/>
          <w:szCs w:val="20"/>
        </w:rPr>
        <w:t>Dimensional weight rate is applicable to any Express Courier parcel or shipment the size of which exceeds one cubic foot. The dimensional weight of any parcel bigger than 31cm x 31cm x 31cm (i.e.one cubic foot) is calculated according the following formula:</w:t>
      </w:r>
    </w:p>
    <w:p w14:paraId="5B15C56C" w14:textId="77777777" w:rsidR="00182EC9" w:rsidRPr="0006400F" w:rsidRDefault="00182EC9" w:rsidP="00A11DD0">
      <w:pPr>
        <w:pStyle w:val="ListParagraph"/>
        <w:tabs>
          <w:tab w:val="left" w:pos="270"/>
        </w:tabs>
        <w:spacing w:before="0" w:after="0"/>
        <w:ind w:left="450"/>
        <w:rPr>
          <w:rFonts w:ascii="Arial Narrow" w:hAnsi="Arial Narrow" w:cs="Trebuchet MS"/>
          <w:i/>
          <w:szCs w:val="20"/>
        </w:rPr>
      </w:pPr>
      <w:r w:rsidRPr="0006400F">
        <w:rPr>
          <w:rFonts w:ascii="Arial Narrow" w:hAnsi="Arial Narrow" w:cs="Trebuchet MS"/>
          <w:i/>
          <w:szCs w:val="20"/>
        </w:rPr>
        <w:t>Length (cm) x width (cm) x height (cm) divided by 5000 = Volumetric Weight in Kgs</w:t>
      </w:r>
    </w:p>
    <w:p w14:paraId="6D43A576" w14:textId="77777777" w:rsidR="00182EC9" w:rsidRPr="0006400F" w:rsidRDefault="00182EC9" w:rsidP="00A11DD0">
      <w:pPr>
        <w:pStyle w:val="ListParagraph"/>
        <w:tabs>
          <w:tab w:val="left" w:pos="270"/>
        </w:tabs>
        <w:spacing w:before="0" w:after="0"/>
        <w:ind w:left="450"/>
        <w:rPr>
          <w:rFonts w:ascii="Arial Narrow" w:hAnsi="Arial Narrow" w:cs="Trebuchet MS"/>
          <w:szCs w:val="20"/>
        </w:rPr>
      </w:pPr>
    </w:p>
    <w:p w14:paraId="572F88EA" w14:textId="77777777" w:rsidR="00182EC9" w:rsidRPr="0006400F" w:rsidRDefault="00182EC9" w:rsidP="00A11DD0">
      <w:pPr>
        <w:pStyle w:val="ListParagraph"/>
        <w:tabs>
          <w:tab w:val="left" w:pos="270"/>
        </w:tabs>
        <w:spacing w:before="0" w:after="0"/>
        <w:ind w:left="450"/>
        <w:rPr>
          <w:rFonts w:ascii="Arial Narrow" w:hAnsi="Arial Narrow" w:cs="Trebuchet MS"/>
          <w:szCs w:val="20"/>
        </w:rPr>
      </w:pPr>
      <w:r w:rsidRPr="0006400F">
        <w:rPr>
          <w:rFonts w:ascii="Arial Narrow" w:hAnsi="Arial Narrow" w:cs="Trebuchet MS"/>
          <w:szCs w:val="20"/>
        </w:rPr>
        <w:t>Customers who fail to apply the dimensional weight to any parcel at the time of transaction, additional charges may be assessed based on the dimensional weight through a supplementary invoice.</w:t>
      </w:r>
    </w:p>
    <w:p w14:paraId="55A46C52" w14:textId="77777777" w:rsidR="00182EC9" w:rsidRPr="0006400F" w:rsidRDefault="00182EC9" w:rsidP="00A11DD0">
      <w:pPr>
        <w:tabs>
          <w:tab w:val="left" w:pos="270"/>
        </w:tabs>
        <w:spacing w:after="0"/>
        <w:ind w:left="450"/>
        <w:jc w:val="both"/>
        <w:rPr>
          <w:rFonts w:ascii="Arial Narrow" w:hAnsi="Arial Narrow" w:cs="Trebuchet MS"/>
          <w:sz w:val="20"/>
          <w:szCs w:val="20"/>
        </w:rPr>
      </w:pPr>
    </w:p>
    <w:p w14:paraId="1FDC7489" w14:textId="77777777" w:rsidR="00182EC9" w:rsidRPr="0006400F" w:rsidRDefault="00182EC9" w:rsidP="00A11DD0">
      <w:pPr>
        <w:tabs>
          <w:tab w:val="left" w:pos="270"/>
        </w:tabs>
        <w:spacing w:after="0"/>
        <w:ind w:left="450"/>
        <w:jc w:val="both"/>
        <w:rPr>
          <w:rFonts w:ascii="Arial Narrow" w:hAnsi="Arial Narrow" w:cs="Trebuchet MS"/>
          <w:sz w:val="20"/>
          <w:szCs w:val="20"/>
        </w:rPr>
      </w:pPr>
    </w:p>
    <w:p w14:paraId="676F7113"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lastRenderedPageBreak/>
        <w:t>Duties and taxes:</w:t>
      </w:r>
    </w:p>
    <w:p w14:paraId="3951E6C8" w14:textId="77777777" w:rsidR="00182EC9" w:rsidRPr="0006400F" w:rsidRDefault="00182EC9" w:rsidP="00A11DD0">
      <w:pPr>
        <w:pStyle w:val="ListParagraph"/>
        <w:tabs>
          <w:tab w:val="left" w:pos="270"/>
        </w:tabs>
        <w:spacing w:before="0" w:after="0"/>
        <w:ind w:left="450"/>
        <w:rPr>
          <w:rFonts w:ascii="Arial Narrow" w:hAnsi="Arial Narrow" w:cs="Trebuchet MS"/>
          <w:szCs w:val="20"/>
        </w:rPr>
      </w:pPr>
      <w:r w:rsidRPr="0006400F">
        <w:rPr>
          <w:rFonts w:ascii="Arial Narrow" w:hAnsi="Arial Narrow" w:cs="Trebuchet MS"/>
          <w:szCs w:val="20"/>
        </w:rPr>
        <w:t xml:space="preserve">To clear certain items through customs, SMSA may be required to pay in advance on behalf of the CUSTOMER certain duties and taxes as assessed by the customs employees. The same will be recovered from the recipient or CUSTOMER along with the rates agreed in </w:t>
      </w:r>
      <w:r w:rsidRPr="0006400F">
        <w:rPr>
          <w:rFonts w:ascii="Arial Narrow" w:hAnsi="Arial Narrow" w:cs="Trebuchet MS"/>
          <w:b/>
          <w:szCs w:val="20"/>
        </w:rPr>
        <w:t>Exhibit A</w:t>
      </w:r>
      <w:r w:rsidRPr="0006400F">
        <w:rPr>
          <w:rFonts w:ascii="Arial Narrow" w:hAnsi="Arial Narrow" w:cs="Trebuchet MS"/>
          <w:szCs w:val="20"/>
        </w:rPr>
        <w:t xml:space="preserve"> on the basis of the option selected on the air waybill. If the recipient refuses to pay, the same will be recovered from CUSTOMER.</w:t>
      </w:r>
    </w:p>
    <w:p w14:paraId="160F4A52" w14:textId="77777777" w:rsidR="00182EC9" w:rsidRPr="0006400F" w:rsidRDefault="00182EC9" w:rsidP="00A11DD0">
      <w:pPr>
        <w:tabs>
          <w:tab w:val="left" w:pos="270"/>
        </w:tabs>
        <w:spacing w:after="0"/>
        <w:ind w:left="450"/>
        <w:jc w:val="both"/>
        <w:rPr>
          <w:rFonts w:ascii="Arial Narrow" w:hAnsi="Arial Narrow" w:cs="Trebuchet MS"/>
          <w:b/>
          <w:bCs/>
          <w:sz w:val="20"/>
          <w:szCs w:val="20"/>
        </w:rPr>
      </w:pPr>
    </w:p>
    <w:p w14:paraId="63A2E016"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t>Inspection of Shipments</w:t>
      </w:r>
    </w:p>
    <w:p w14:paraId="7A7BA3F3" w14:textId="77777777" w:rsidR="00182EC9" w:rsidRPr="0006400F" w:rsidRDefault="00182EC9" w:rsidP="00A11DD0">
      <w:pPr>
        <w:pStyle w:val="ListParagraph"/>
        <w:tabs>
          <w:tab w:val="left" w:pos="270"/>
        </w:tabs>
        <w:spacing w:before="0" w:after="0"/>
        <w:ind w:left="450"/>
        <w:rPr>
          <w:rFonts w:ascii="Arial Narrow" w:hAnsi="Arial Narrow" w:cs="Trebuchet MS"/>
          <w:szCs w:val="20"/>
        </w:rPr>
      </w:pPr>
      <w:r w:rsidRPr="0006400F">
        <w:rPr>
          <w:rFonts w:ascii="Arial Narrow" w:hAnsi="Arial Narrow" w:cs="Trebuchet MS"/>
          <w:szCs w:val="20"/>
        </w:rPr>
        <w:t>SMSA may, at its own discretion, open and inspect any shipment at any time without notifying CUSTOMER. Government authorities may also open and inspect any shipment at any time.</w:t>
      </w:r>
    </w:p>
    <w:p w14:paraId="744D9A0F" w14:textId="77777777" w:rsidR="00182EC9" w:rsidRPr="0006400F" w:rsidRDefault="00182EC9" w:rsidP="00A11DD0">
      <w:pPr>
        <w:tabs>
          <w:tab w:val="left" w:pos="270"/>
        </w:tabs>
        <w:spacing w:after="0"/>
        <w:ind w:left="450"/>
        <w:jc w:val="both"/>
        <w:rPr>
          <w:rFonts w:ascii="Arial Narrow" w:hAnsi="Arial Narrow" w:cs="Trebuchet MS"/>
          <w:sz w:val="20"/>
          <w:szCs w:val="20"/>
        </w:rPr>
      </w:pPr>
    </w:p>
    <w:p w14:paraId="601C2A28"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t>Declared Value and Limits of Liability</w:t>
      </w:r>
    </w:p>
    <w:p w14:paraId="2EB640F0" w14:textId="77777777" w:rsidR="000E589A" w:rsidRPr="000E589A" w:rsidRDefault="000E589A" w:rsidP="008F0E79">
      <w:pPr>
        <w:pStyle w:val="ListParagraph"/>
        <w:numPr>
          <w:ilvl w:val="1"/>
          <w:numId w:val="1"/>
        </w:numPr>
        <w:tabs>
          <w:tab w:val="left" w:pos="270"/>
        </w:tabs>
        <w:spacing w:before="0" w:after="0"/>
        <w:ind w:left="450" w:firstLine="0"/>
        <w:rPr>
          <w:rFonts w:ascii="Arial Narrow" w:hAnsi="Arial Narrow" w:cs="Trebuchet MS"/>
          <w:szCs w:val="20"/>
        </w:rPr>
      </w:pPr>
      <w:r w:rsidRPr="000E589A">
        <w:rPr>
          <w:rFonts w:ascii="Arial Narrow" w:hAnsi="Arial Narrow" w:cs="Trebuchet MS"/>
          <w:bCs/>
          <w:szCs w:val="20"/>
          <w:lang w:val="en-GB"/>
        </w:rPr>
        <w:t xml:space="preserve">SMSA will charge minimum of BHD 5.000/- or 2% of the shipment value if it is higher premium on the declared value of goods as extended insurance charges if the customer chooses to use this service. Terms and conditions to the extended liability can be reviewed on the Insurance Request Form. </w:t>
      </w:r>
      <w:r w:rsidRPr="000E589A">
        <w:rPr>
          <w:rFonts w:ascii="Arial Narrow" w:hAnsi="Arial Narrow" w:cs="Trebuchet MS"/>
          <w:bCs/>
          <w:szCs w:val="20"/>
        </w:rPr>
        <w:t>If the shipment is not insured through SMSA Insurance Policy, SMSA maximum liability for any loss or damage will be limited to 100 USD$ or Value of Goods whichever is lower.</w:t>
      </w:r>
    </w:p>
    <w:p w14:paraId="57BA56CC" w14:textId="7308ABDD" w:rsidR="00182EC9" w:rsidRPr="000E589A" w:rsidRDefault="00182EC9" w:rsidP="008F0E79">
      <w:pPr>
        <w:pStyle w:val="ListParagraph"/>
        <w:numPr>
          <w:ilvl w:val="1"/>
          <w:numId w:val="1"/>
        </w:numPr>
        <w:tabs>
          <w:tab w:val="left" w:pos="270"/>
        </w:tabs>
        <w:spacing w:before="0" w:after="0"/>
        <w:ind w:left="450" w:firstLine="0"/>
        <w:rPr>
          <w:rFonts w:ascii="Arial Narrow" w:hAnsi="Arial Narrow" w:cs="Trebuchet MS"/>
          <w:szCs w:val="20"/>
        </w:rPr>
      </w:pPr>
      <w:r w:rsidRPr="000E589A">
        <w:rPr>
          <w:rFonts w:ascii="Arial Narrow" w:hAnsi="Arial Narrow" w:cs="Trebuchet MS"/>
          <w:szCs w:val="20"/>
        </w:rPr>
        <w:t>SMSA does not provide an automatic cargo liability on all risk insurance but the sender may pay an additional charge for declared value for carriage above the limits referred to in section 9.1 of the condition of carriage. The declared value for carriage of any package represents SMSA maximum liability in connection with a shipment of that package, including but not limited to any loss, damage, delay, mis-delivery, any failure to provide information, or mis-delivery of information relating to the shipment</w:t>
      </w:r>
    </w:p>
    <w:p w14:paraId="22A0C17A"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The maximum declared value for customs and carriages is limited and may vary per Location. If applicable the declared value for carriage value for customs and carriage is limited and cannot exceed the declared value for customs. The maximum declared value for customs and carriage for the contents of a SMSA Envelope or SMSA Pak, regardless of destination is US$100 per shipment. Goods with a value (actual or declared) are exceeding these amounts, should NOT be shipped in SMSA Envelope or SMSA Pak.</w:t>
      </w:r>
    </w:p>
    <w:p w14:paraId="0C2B3858"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Shipments containing items of extra ordinary value are limited to a maximum declared value for carriage of USD$ 1000 per shipment. Import of any of these items may be prohibited by individual countries. For more information please read our Conditions of Carriage and or contact SMSA representative.</w:t>
      </w:r>
    </w:p>
    <w:p w14:paraId="711D4555"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Even if the shipment is insured with SMSA regardless of the declared value for carriage of a package, SMSA liability for loss or damaged will not exceed the    shipments repair cost , its depreciated value or its replacement cost whichever is less.</w:t>
      </w:r>
    </w:p>
    <w:p w14:paraId="0AF9C505" w14:textId="77777777" w:rsidR="00182EC9" w:rsidRPr="0006400F" w:rsidRDefault="00182EC9" w:rsidP="00A11DD0">
      <w:pPr>
        <w:tabs>
          <w:tab w:val="left" w:pos="270"/>
        </w:tabs>
        <w:spacing w:after="0"/>
        <w:ind w:left="450"/>
        <w:jc w:val="both"/>
        <w:rPr>
          <w:rFonts w:ascii="Arial Narrow" w:hAnsi="Arial Narrow" w:cs="Trebuchet MS"/>
          <w:sz w:val="20"/>
          <w:szCs w:val="20"/>
        </w:rPr>
      </w:pPr>
    </w:p>
    <w:p w14:paraId="2B07FD1A"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t>Liabilities not assumed (No damages will be paid in the following cases):</w:t>
      </w:r>
    </w:p>
    <w:p w14:paraId="6C858F55" w14:textId="4A2E1E6D" w:rsidR="00182EC9" w:rsidRPr="0006400F" w:rsidRDefault="00182EC9" w:rsidP="00A11DD0">
      <w:pPr>
        <w:pStyle w:val="ListParagraph"/>
        <w:numPr>
          <w:ilvl w:val="1"/>
          <w:numId w:val="1"/>
        </w:numPr>
        <w:tabs>
          <w:tab w:val="left" w:pos="270"/>
          <w:tab w:val="left" w:pos="540"/>
        </w:tabs>
        <w:spacing w:before="0" w:after="0"/>
        <w:ind w:left="450" w:firstLine="0"/>
        <w:rPr>
          <w:rFonts w:ascii="Arial Narrow" w:hAnsi="Arial Narrow" w:cs="Trebuchet MS"/>
          <w:szCs w:val="20"/>
        </w:rPr>
      </w:pPr>
      <w:r w:rsidRPr="0006400F">
        <w:rPr>
          <w:rFonts w:ascii="Arial Narrow" w:hAnsi="Arial Narrow" w:cs="Trebuchet MS"/>
          <w:szCs w:val="20"/>
        </w:rPr>
        <w:t>SMSA will not be liable for any damages for loss, late delivery or damage as a result of misinformation by the CUSTOMER</w:t>
      </w:r>
    </w:p>
    <w:p w14:paraId="5AD89541"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 xml:space="preserve">Non-compliance with any of the terms and conditions contained in SMSA air waybill </w:t>
      </w:r>
    </w:p>
    <w:p w14:paraId="41E2D5AD"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and the standard terms and conditions of carriage, including, but not limited to incorrect declaration of cargo, improper or inadequate packing, securing, marking or addressing of shipment; perils of air, illegal acts by any person or persons “other than SMSA employees” or entities not in good credit standing using the account number, act of law, customs or quarantine officials acts, state of war hazards or weather conditions (at SMSA’s discretion) mechanical delay or disruption of air or ground transportation networks, conditions that present danger to SMSA employees, or disruption or failure of communication systems, acts or omissions by any person other than SMSA.. In case of occurrence of any of these events, we will make reasonable efforts to transport and deliver the parcels to their destinations as soon     as possible.</w:t>
      </w:r>
    </w:p>
    <w:p w14:paraId="362C1960"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Delays due to customs clearance or government authorities procedures</w:t>
      </w:r>
    </w:p>
    <w:p w14:paraId="54D6554F"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Delay in delivery as a result of the SMSA policy regarding payment of duties and taxes.</w:t>
      </w:r>
    </w:p>
    <w:p w14:paraId="3D93A4F2"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Erasure, loss or irretrievability of information stored on magnetic tapes, files, or any other storage media; or erasure of photographic images, soundtracks from exposed films when in government authority custody.</w:t>
      </w:r>
    </w:p>
    <w:p w14:paraId="642BAB4F"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Unavailability of ‘package orientation’ graphics (e.g., “Up” arrows and “THIS END UP” marking, or other sender’s instructions on the envelope), or damage arising from any failure by the sender to pack the material shipped properly before shipping e.g. florescent tubes or neon lights, neon sign boards, X-ray tubes, laser tubes, flat monitors (all types), light bulbs due to their fragile nature. These items require prior packaging approval before shipping.</w:t>
      </w:r>
    </w:p>
    <w:p w14:paraId="7A57D5E7"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Inability to attempt to contact sender or recipient with regard to incomplete or inaccurate address, lost documentation, payment of customs duties and taxes required for release of shipment or incorrect or incomplete customs broker’s address.</w:t>
      </w:r>
    </w:p>
    <w:p w14:paraId="16B607D1"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Shipments of perishables or whose contents are perishable and liable to leak and damage. If shipment is not accepted by the recipient because it is leaking or damaged, the shipment if possible, will be returned to the sender who shall pay the return charges. If the sender refuses to accept the returned shipment, or it cannot be returned owning to leakage or damage due to the sender’s failure to notify SMSA to exercise caution in packing that shipment, the customer will be held accountable and must indemnify SMSA for all the costs and expenses related to cleaning up any flow or leakage.</w:t>
      </w:r>
    </w:p>
    <w:p w14:paraId="60568B01"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SMSA will not be responsible for any package which SMSA registers do not show that it has been tendered</w:t>
      </w:r>
    </w:p>
    <w:p w14:paraId="731F9A66" w14:textId="77777777" w:rsidR="00182EC9" w:rsidRPr="0006400F" w:rsidRDefault="00182EC9" w:rsidP="00A11DD0">
      <w:pPr>
        <w:tabs>
          <w:tab w:val="left" w:pos="270"/>
        </w:tabs>
        <w:spacing w:after="0"/>
        <w:ind w:left="450"/>
        <w:jc w:val="both"/>
        <w:rPr>
          <w:rFonts w:ascii="Arial Narrow" w:hAnsi="Arial Narrow" w:cs="Trebuchet MS"/>
          <w:b/>
          <w:bCs/>
          <w:sz w:val="20"/>
          <w:szCs w:val="20"/>
        </w:rPr>
      </w:pPr>
    </w:p>
    <w:p w14:paraId="1E73309F" w14:textId="77777777" w:rsidR="00182EC9" w:rsidRPr="0006400F" w:rsidRDefault="00182EC9" w:rsidP="00A11DD0">
      <w:pPr>
        <w:tabs>
          <w:tab w:val="left" w:pos="270"/>
        </w:tabs>
        <w:spacing w:after="0"/>
        <w:ind w:left="450"/>
        <w:jc w:val="both"/>
        <w:rPr>
          <w:rFonts w:ascii="Arial Narrow" w:hAnsi="Arial Narrow" w:cs="Trebuchet MS"/>
          <w:b/>
          <w:bCs/>
          <w:sz w:val="20"/>
          <w:szCs w:val="20"/>
        </w:rPr>
      </w:pPr>
    </w:p>
    <w:p w14:paraId="441CF716"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t>Refusal or Rejection of Shipments</w:t>
      </w:r>
    </w:p>
    <w:p w14:paraId="263FF118" w14:textId="77777777" w:rsidR="00182EC9" w:rsidRPr="0006400F" w:rsidRDefault="00182EC9" w:rsidP="00A11DD0">
      <w:pPr>
        <w:pStyle w:val="ListParagraph"/>
        <w:tabs>
          <w:tab w:val="left" w:pos="270"/>
        </w:tabs>
        <w:spacing w:before="0" w:after="0"/>
        <w:ind w:left="450"/>
        <w:rPr>
          <w:rFonts w:ascii="Arial Narrow" w:hAnsi="Arial Narrow" w:cs="Trebuchet MS"/>
          <w:szCs w:val="20"/>
        </w:rPr>
      </w:pPr>
      <w:r w:rsidRPr="0006400F">
        <w:rPr>
          <w:rFonts w:ascii="Arial Narrow" w:hAnsi="Arial Narrow" w:cs="Trebuchet MS"/>
          <w:szCs w:val="20"/>
        </w:rPr>
        <w:t>SMSA reserves the right to refuse, hold or return any shipment if such a shipment in the opinion of SMSA:</w:t>
      </w:r>
    </w:p>
    <w:p w14:paraId="7E10E0FC" w14:textId="77777777" w:rsidR="00182EC9" w:rsidRPr="0006400F" w:rsidRDefault="00182EC9" w:rsidP="00A11DD0">
      <w:pPr>
        <w:pStyle w:val="ListParagraph"/>
        <w:numPr>
          <w:ilvl w:val="1"/>
          <w:numId w:val="1"/>
        </w:numPr>
        <w:tabs>
          <w:tab w:val="left" w:pos="270"/>
        </w:tabs>
        <w:spacing w:before="0" w:after="0"/>
        <w:ind w:left="450" w:firstLine="0"/>
        <w:rPr>
          <w:rFonts w:ascii="Arial Narrow" w:hAnsi="Arial Narrow" w:cs="Trebuchet MS"/>
          <w:szCs w:val="20"/>
        </w:rPr>
      </w:pPr>
      <w:r w:rsidRPr="0006400F">
        <w:rPr>
          <w:rFonts w:ascii="Arial Narrow" w:hAnsi="Arial Narrow" w:cs="Trebuchet MS"/>
          <w:szCs w:val="20"/>
        </w:rPr>
        <w:t>Is likely to cause damage or delay to other shipments, equipment or employees after SMSA has explained the proper way of sending a shipment.</w:t>
      </w:r>
    </w:p>
    <w:p w14:paraId="68941762" w14:textId="77777777" w:rsidR="00182EC9" w:rsidRPr="0006400F" w:rsidRDefault="00182EC9" w:rsidP="00A11DD0">
      <w:pPr>
        <w:pStyle w:val="ListParagraph"/>
        <w:numPr>
          <w:ilvl w:val="1"/>
          <w:numId w:val="1"/>
        </w:numPr>
        <w:tabs>
          <w:tab w:val="left" w:pos="90"/>
          <w:tab w:val="left" w:pos="270"/>
        </w:tabs>
        <w:spacing w:before="0" w:after="0"/>
        <w:ind w:left="450" w:firstLine="0"/>
        <w:rPr>
          <w:rFonts w:ascii="Arial Narrow" w:hAnsi="Arial Narrow" w:cs="Trebuchet MS"/>
          <w:szCs w:val="20"/>
        </w:rPr>
      </w:pPr>
      <w:r w:rsidRPr="0006400F">
        <w:rPr>
          <w:rFonts w:ascii="Arial Narrow" w:hAnsi="Arial Narrow" w:cs="Trebuchet MS"/>
          <w:szCs w:val="20"/>
        </w:rPr>
        <w:t>Is prohibited by law inside Bahrain or abroad or is violation of any of SMSA standard as amended from time to time.</w:t>
      </w:r>
    </w:p>
    <w:p w14:paraId="145203EA" w14:textId="77777777" w:rsidR="00182EC9" w:rsidRPr="0006400F" w:rsidRDefault="00182EC9" w:rsidP="00A11DD0">
      <w:pPr>
        <w:tabs>
          <w:tab w:val="left" w:pos="90"/>
          <w:tab w:val="left" w:pos="270"/>
        </w:tabs>
        <w:spacing w:after="0"/>
        <w:ind w:left="450"/>
        <w:jc w:val="both"/>
        <w:rPr>
          <w:rFonts w:ascii="Arial Narrow" w:hAnsi="Arial Narrow" w:cs="Trebuchet MS"/>
          <w:sz w:val="20"/>
          <w:szCs w:val="20"/>
        </w:rPr>
      </w:pPr>
    </w:p>
    <w:p w14:paraId="296CDE68" w14:textId="77777777" w:rsidR="00182EC9" w:rsidRPr="0006400F" w:rsidRDefault="00182EC9" w:rsidP="00A11DD0">
      <w:pPr>
        <w:pStyle w:val="ListParagraph"/>
        <w:numPr>
          <w:ilvl w:val="0"/>
          <w:numId w:val="1"/>
        </w:numPr>
        <w:tabs>
          <w:tab w:val="left" w:pos="270"/>
        </w:tabs>
        <w:spacing w:before="0" w:after="0"/>
        <w:ind w:left="450" w:firstLine="0"/>
        <w:rPr>
          <w:rFonts w:ascii="Arial Narrow" w:hAnsi="Arial Narrow" w:cs="Trebuchet MS"/>
          <w:b/>
          <w:bCs/>
          <w:szCs w:val="20"/>
        </w:rPr>
      </w:pPr>
      <w:r w:rsidRPr="0006400F">
        <w:rPr>
          <w:rFonts w:ascii="Arial Narrow" w:hAnsi="Arial Narrow" w:cs="Trebuchet MS"/>
          <w:b/>
          <w:bCs/>
          <w:szCs w:val="20"/>
        </w:rPr>
        <w:t>Unclaimed Shipments</w:t>
      </w:r>
    </w:p>
    <w:p w14:paraId="509D10AD" w14:textId="77777777" w:rsidR="00182EC9" w:rsidRPr="0006400F" w:rsidRDefault="00182EC9" w:rsidP="00A11DD0">
      <w:pPr>
        <w:pStyle w:val="ListParagraph"/>
        <w:tabs>
          <w:tab w:val="left" w:pos="270"/>
        </w:tabs>
        <w:spacing w:before="0" w:after="0"/>
        <w:ind w:left="450"/>
        <w:rPr>
          <w:rFonts w:ascii="Arial Narrow" w:hAnsi="Arial Narrow" w:cs="Trebuchet MS"/>
          <w:szCs w:val="20"/>
        </w:rPr>
      </w:pPr>
      <w:r w:rsidRPr="0006400F">
        <w:rPr>
          <w:rFonts w:ascii="Arial Narrow" w:hAnsi="Arial Narrow" w:cs="Trebuchet MS"/>
          <w:szCs w:val="20"/>
        </w:rPr>
        <w:t>If the shipment cannot be delivered for any reason and the recipient ignored collecting it, SMSA shall have the right to deal with the shipments in whatever manner after the lapse of 30 days from the shipping date as per their regulations. Also the customer must pay return charges if the shipment is returned because it cannot be delivered due to: (e.g. consignee has not paid the customs duties or any other fees imposed on the shipment – Consignee Refused to receive the shipment – government authorities refuse the shipment transit – addresses are incorrect) and the customer shall have no right to ask for a proof of delivery (POD) after the passage of thirty (30) days as of the date of the shipment.</w:t>
      </w:r>
    </w:p>
    <w:p w14:paraId="34958EF8" w14:textId="77777777" w:rsidR="00372CCB" w:rsidRPr="0006400F" w:rsidRDefault="00372CCB" w:rsidP="00A11DD0">
      <w:pPr>
        <w:pStyle w:val="ListParagraph"/>
        <w:tabs>
          <w:tab w:val="left" w:pos="270"/>
        </w:tabs>
        <w:spacing w:before="0" w:after="0"/>
        <w:ind w:left="450"/>
        <w:rPr>
          <w:rFonts w:ascii="Arial Narrow" w:hAnsi="Arial Narrow" w:cs="Trebuchet MS"/>
          <w:szCs w:val="20"/>
        </w:rPr>
      </w:pPr>
    </w:p>
    <w:p w14:paraId="689A9CEE" w14:textId="77777777" w:rsidR="00372CCB" w:rsidRPr="0006400F" w:rsidRDefault="00372CCB" w:rsidP="00A11DD0">
      <w:pPr>
        <w:tabs>
          <w:tab w:val="left" w:pos="270"/>
        </w:tabs>
        <w:ind w:left="450"/>
        <w:jc w:val="both"/>
        <w:rPr>
          <w:rFonts w:ascii="Arial Narrow" w:hAnsi="Arial Narrow" w:cs="Trebuchet MS"/>
          <w:sz w:val="20"/>
          <w:szCs w:val="20"/>
        </w:rPr>
      </w:pPr>
    </w:p>
    <w:p w14:paraId="0E833254" w14:textId="77777777" w:rsidR="00372CCB" w:rsidRPr="0006400F" w:rsidRDefault="00372CCB" w:rsidP="00A11DD0">
      <w:pPr>
        <w:tabs>
          <w:tab w:val="left" w:pos="270"/>
        </w:tabs>
        <w:ind w:left="450"/>
        <w:jc w:val="both"/>
        <w:rPr>
          <w:rFonts w:ascii="Arial Narrow" w:hAnsi="Arial Narrow" w:cs="Trebuchet MS"/>
          <w:sz w:val="20"/>
          <w:szCs w:val="20"/>
        </w:rPr>
      </w:pPr>
    </w:p>
    <w:p w14:paraId="5A2E6827"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415E7D61"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60FCCA94"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5CF46F86"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286746C4"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1D1293F0"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6CC223A5"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6EDE5964"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63183342"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32735467"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0D79BCB4" w14:textId="77777777" w:rsidR="00372CCB" w:rsidRPr="0006400F" w:rsidRDefault="00372CCB" w:rsidP="00A11DD0">
      <w:pPr>
        <w:tabs>
          <w:tab w:val="left" w:pos="270"/>
          <w:tab w:val="left" w:pos="6900"/>
        </w:tabs>
        <w:ind w:left="450"/>
        <w:jc w:val="both"/>
        <w:rPr>
          <w:rFonts w:ascii="Arial Narrow" w:hAnsi="Arial Narrow"/>
          <w:noProof/>
          <w:lang w:eastAsia="en-GB"/>
        </w:rPr>
      </w:pPr>
    </w:p>
    <w:p w14:paraId="1248EB3C" w14:textId="77777777" w:rsidR="00372CCB" w:rsidRPr="0006400F" w:rsidRDefault="00372CCB" w:rsidP="00A11DD0">
      <w:pPr>
        <w:tabs>
          <w:tab w:val="left" w:pos="270"/>
        </w:tabs>
        <w:spacing w:after="0"/>
        <w:ind w:left="450"/>
        <w:jc w:val="both"/>
        <w:rPr>
          <w:rFonts w:ascii="Arial Narrow" w:hAnsi="Arial Narrow" w:cs="Trebuchet MS"/>
          <w:szCs w:val="20"/>
        </w:rPr>
      </w:pPr>
    </w:p>
    <w:sectPr w:rsidR="00372CCB" w:rsidRPr="0006400F" w:rsidSect="00801C77">
      <w:headerReference w:type="default" r:id="rId7"/>
      <w:footerReference w:type="default" r:id="rId8"/>
      <w:pgSz w:w="11906" w:h="16838"/>
      <w:pgMar w:top="576" w:right="836" w:bottom="1440" w:left="1440" w:header="9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5BFE" w14:textId="77777777" w:rsidR="00766F31" w:rsidRDefault="00766F31" w:rsidP="00182EC9">
      <w:pPr>
        <w:spacing w:after="0" w:line="240" w:lineRule="auto"/>
      </w:pPr>
      <w:r>
        <w:separator/>
      </w:r>
    </w:p>
  </w:endnote>
  <w:endnote w:type="continuationSeparator" w:id="0">
    <w:p w14:paraId="2A71FD95" w14:textId="77777777" w:rsidR="00766F31" w:rsidRDefault="00766F31" w:rsidP="0018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D309" w14:textId="14C611E7" w:rsidR="00DE1B67" w:rsidRDefault="00931D13" w:rsidP="00F8119E">
    <w:pPr>
      <w:pStyle w:val="Footer"/>
      <w:tabs>
        <w:tab w:val="right" w:pos="9360"/>
      </w:tabs>
      <w:jc w:val="center"/>
      <w:rPr>
        <w:rFonts w:cstheme="minorHAnsi"/>
        <w:sz w:val="20"/>
        <w:szCs w:val="20"/>
      </w:rPr>
    </w:pPr>
    <w:bookmarkStart w:id="4" w:name="_Hlk153133482"/>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sidRPr="00F22BD9">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sidRPr="00F22BD9">
      <w:rPr>
        <w:rFonts w:cstheme="minorHAnsi"/>
        <w:noProof/>
        <w:sz w:val="20"/>
        <w:szCs w:val="20"/>
      </w:rPr>
      <w:t>1</w:t>
    </w:r>
    <w:r w:rsidRPr="00F22BD9">
      <w:rPr>
        <w:rFonts w:cstheme="minorHAnsi"/>
        <w:sz w:val="20"/>
        <w:szCs w:val="20"/>
      </w:rPr>
      <w:fldChar w:fldCharType="end"/>
    </w:r>
    <w:bookmarkEnd w:id="4"/>
  </w:p>
  <w:p w14:paraId="54342BB8" w14:textId="707E1A97" w:rsidR="00F8119E" w:rsidRPr="00931D13" w:rsidRDefault="00F8119E" w:rsidP="00F8119E">
    <w:pPr>
      <w:pStyle w:val="Footer"/>
      <w:tabs>
        <w:tab w:val="right" w:pos="9360"/>
      </w:tabs>
      <w:jc w:val="center"/>
      <w:rPr>
        <w:rFonts w:cstheme="minorHAnsi"/>
        <w:sz w:val="20"/>
        <w:szCs w:val="20"/>
      </w:rPr>
    </w:pPr>
    <w:r w:rsidRPr="00F22BD9">
      <w:rPr>
        <w:rFonts w:cstheme="minorHAnsi"/>
        <w:sz w:val="20"/>
        <w:szCs w:val="20"/>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A86D" w14:textId="77777777" w:rsidR="00766F31" w:rsidRDefault="00766F31" w:rsidP="00182EC9">
      <w:pPr>
        <w:spacing w:after="0" w:line="240" w:lineRule="auto"/>
      </w:pPr>
      <w:r>
        <w:separator/>
      </w:r>
    </w:p>
  </w:footnote>
  <w:footnote w:type="continuationSeparator" w:id="0">
    <w:p w14:paraId="6296DFD9" w14:textId="77777777" w:rsidR="00766F31" w:rsidRDefault="00766F31" w:rsidP="00182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5" w:type="dxa"/>
      <w:tblInd w:w="-794" w:type="dxa"/>
      <w:tblLook w:val="04A0" w:firstRow="1" w:lastRow="0" w:firstColumn="1" w:lastColumn="0" w:noHBand="0" w:noVBand="1"/>
    </w:tblPr>
    <w:tblGrid>
      <w:gridCol w:w="4168"/>
      <w:gridCol w:w="6297"/>
    </w:tblGrid>
    <w:tr w:rsidR="00A11DD0" w:rsidRPr="00FC129E" w14:paraId="244882D9" w14:textId="77777777" w:rsidTr="00F8119E">
      <w:trPr>
        <w:trHeight w:val="747"/>
      </w:trPr>
      <w:tc>
        <w:tcPr>
          <w:tcW w:w="4168" w:type="dxa"/>
        </w:tcPr>
        <w:p w14:paraId="25939463" w14:textId="020FB320" w:rsidR="00A11DD0" w:rsidRPr="00EC5BD5" w:rsidRDefault="000E589A" w:rsidP="00F8119E">
          <w:pPr>
            <w:pStyle w:val="Header"/>
            <w:tabs>
              <w:tab w:val="clear" w:pos="9026"/>
            </w:tabs>
            <w:rPr>
              <w:rFonts w:ascii="Arial Narrow" w:hAnsi="Arial Narrow"/>
              <w:b/>
              <w:noProof/>
            </w:rPr>
          </w:pPr>
          <w:r>
            <w:rPr>
              <w:noProof/>
            </w:rPr>
            <w:drawing>
              <wp:anchor distT="0" distB="0" distL="114300" distR="114300" simplePos="0" relativeHeight="251658752" behindDoc="1" locked="0" layoutInCell="1" allowOverlap="1" wp14:anchorId="2F579251" wp14:editId="331254AC">
                <wp:simplePos x="0" y="0"/>
                <wp:positionH relativeFrom="column">
                  <wp:posOffset>435610</wp:posOffset>
                </wp:positionH>
                <wp:positionV relativeFrom="paragraph">
                  <wp:posOffset>0</wp:posOffset>
                </wp:positionV>
                <wp:extent cx="1197610" cy="292100"/>
                <wp:effectExtent l="0" t="0" r="2540" b="0"/>
                <wp:wrapTight wrapText="bothSides">
                  <wp:wrapPolygon edited="0">
                    <wp:start x="0" y="0"/>
                    <wp:lineTo x="0" y="19722"/>
                    <wp:lineTo x="21302" y="19722"/>
                    <wp:lineTo x="21302" y="0"/>
                    <wp:lineTo x="0" y="0"/>
                  </wp:wrapPolygon>
                </wp:wrapTight>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610" cy="292100"/>
                        </a:xfrm>
                        <a:prstGeom prst="rect">
                          <a:avLst/>
                        </a:prstGeom>
                      </pic:spPr>
                    </pic:pic>
                  </a:graphicData>
                </a:graphic>
              </wp:anchor>
            </w:drawing>
          </w:r>
        </w:p>
      </w:tc>
      <w:tc>
        <w:tcPr>
          <w:tcW w:w="6297" w:type="dxa"/>
        </w:tcPr>
        <w:p w14:paraId="29B06ABD" w14:textId="221D2A28" w:rsidR="00A11DD0" w:rsidRPr="000E589A" w:rsidRDefault="00A11DD0" w:rsidP="00F8119E">
          <w:pPr>
            <w:pStyle w:val="Header"/>
            <w:ind w:right="20"/>
            <w:jc w:val="right"/>
            <w:rPr>
              <w:rFonts w:cstheme="minorHAnsi"/>
              <w:b/>
              <w:noProof/>
              <w:sz w:val="32"/>
              <w:szCs w:val="32"/>
            </w:rPr>
          </w:pPr>
          <w:r w:rsidRPr="000E589A">
            <w:rPr>
              <w:rFonts w:cstheme="minorHAnsi"/>
              <w:b/>
              <w:noProof/>
              <w:sz w:val="32"/>
              <w:szCs w:val="32"/>
            </w:rPr>
            <w:t>SMSA Terms &amp; Condition of Carriage</w:t>
          </w:r>
          <w:r w:rsidR="00931D13">
            <w:rPr>
              <w:rFonts w:cstheme="minorHAnsi"/>
              <w:b/>
              <w:noProof/>
              <w:sz w:val="32"/>
              <w:szCs w:val="32"/>
            </w:rPr>
            <w:t xml:space="preserve">  </w:t>
          </w:r>
        </w:p>
        <w:p w14:paraId="6FFBA727" w14:textId="7AB0D7C0" w:rsidR="00A11DD0" w:rsidRPr="00931D13" w:rsidRDefault="00931D13" w:rsidP="00F8119E">
          <w:pPr>
            <w:pStyle w:val="Header"/>
            <w:tabs>
              <w:tab w:val="left" w:pos="9276"/>
              <w:tab w:val="right" w:pos="12240"/>
            </w:tabs>
            <w:ind w:right="20"/>
            <w:jc w:val="right"/>
            <w:rPr>
              <w:rFonts w:ascii="Calibri" w:hAnsi="Calibri" w:cs="Calibri"/>
              <w:noProof/>
            </w:rPr>
          </w:pPr>
          <w:bookmarkStart w:id="0" w:name="_Hlk168926521"/>
          <w:bookmarkStart w:id="1" w:name="_Hlk155595190"/>
          <w:bookmarkStart w:id="2" w:name="_Hlk153200234"/>
          <w:r>
            <w:rPr>
              <w:rFonts w:ascii="Calibri" w:hAnsi="Calibri" w:cs="Calibri"/>
            </w:rPr>
            <w:t>Owner/ Department</w:t>
          </w:r>
          <w:bookmarkStart w:id="3" w:name="_Hlk183352789"/>
          <w:r>
            <w:rPr>
              <w:rFonts w:ascii="Calibri" w:hAnsi="Calibri" w:cs="Calibri"/>
            </w:rPr>
            <w:t xml:space="preserve">: IBU-BAH, </w:t>
          </w:r>
          <w:bookmarkEnd w:id="0"/>
          <w:bookmarkEnd w:id="1"/>
          <w:bookmarkEnd w:id="3"/>
          <w:r w:rsidRPr="00931D13">
            <w:rPr>
              <w:rFonts w:ascii="Calibri" w:hAnsi="Calibri"/>
              <w:noProof/>
            </w:rPr>
            <w:t>Sales</w:t>
          </w:r>
          <w:bookmarkEnd w:id="2"/>
        </w:p>
      </w:tc>
    </w:tr>
  </w:tbl>
  <w:p w14:paraId="0CD08618" w14:textId="77777777" w:rsidR="00182EC9" w:rsidRDefault="00182EC9" w:rsidP="00A11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4EB"/>
    <w:multiLevelType w:val="hybridMultilevel"/>
    <w:tmpl w:val="78EC79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7932E0"/>
    <w:multiLevelType w:val="multilevel"/>
    <w:tmpl w:val="BD32E0AC"/>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40F4519"/>
    <w:multiLevelType w:val="hybridMultilevel"/>
    <w:tmpl w:val="044E7BC0"/>
    <w:lvl w:ilvl="0" w:tplc="4D8092D6">
      <w:start w:val="1"/>
      <w:numFmt w:val="lowerLetter"/>
      <w:lvlText w:val="%1)"/>
      <w:lvlJc w:val="left"/>
      <w:pPr>
        <w:ind w:left="1440" w:hanging="360"/>
      </w:pPr>
    </w:lvl>
    <w:lvl w:ilvl="1" w:tplc="C5F4D9AC" w:tentative="1">
      <w:start w:val="1"/>
      <w:numFmt w:val="lowerLetter"/>
      <w:lvlText w:val="%2."/>
      <w:lvlJc w:val="left"/>
      <w:pPr>
        <w:ind w:left="2160" w:hanging="360"/>
      </w:pPr>
    </w:lvl>
    <w:lvl w:ilvl="2" w:tplc="53D0D7B0" w:tentative="1">
      <w:start w:val="1"/>
      <w:numFmt w:val="lowerRoman"/>
      <w:lvlText w:val="%3."/>
      <w:lvlJc w:val="right"/>
      <w:pPr>
        <w:ind w:left="2880" w:hanging="180"/>
      </w:pPr>
    </w:lvl>
    <w:lvl w:ilvl="3" w:tplc="34F2BA4A" w:tentative="1">
      <w:start w:val="1"/>
      <w:numFmt w:val="decimal"/>
      <w:lvlText w:val="%4."/>
      <w:lvlJc w:val="left"/>
      <w:pPr>
        <w:ind w:left="3600" w:hanging="360"/>
      </w:pPr>
    </w:lvl>
    <w:lvl w:ilvl="4" w:tplc="4ED0FA22" w:tentative="1">
      <w:start w:val="1"/>
      <w:numFmt w:val="lowerLetter"/>
      <w:lvlText w:val="%5."/>
      <w:lvlJc w:val="left"/>
      <w:pPr>
        <w:ind w:left="4320" w:hanging="360"/>
      </w:pPr>
    </w:lvl>
    <w:lvl w:ilvl="5" w:tplc="87AE8F94" w:tentative="1">
      <w:start w:val="1"/>
      <w:numFmt w:val="lowerRoman"/>
      <w:lvlText w:val="%6."/>
      <w:lvlJc w:val="right"/>
      <w:pPr>
        <w:ind w:left="5040" w:hanging="180"/>
      </w:pPr>
    </w:lvl>
    <w:lvl w:ilvl="6" w:tplc="833E74C4" w:tentative="1">
      <w:start w:val="1"/>
      <w:numFmt w:val="decimal"/>
      <w:lvlText w:val="%7."/>
      <w:lvlJc w:val="left"/>
      <w:pPr>
        <w:ind w:left="5760" w:hanging="360"/>
      </w:pPr>
    </w:lvl>
    <w:lvl w:ilvl="7" w:tplc="DED4FD5C" w:tentative="1">
      <w:start w:val="1"/>
      <w:numFmt w:val="lowerLetter"/>
      <w:lvlText w:val="%8."/>
      <w:lvlJc w:val="left"/>
      <w:pPr>
        <w:ind w:left="6480" w:hanging="360"/>
      </w:pPr>
    </w:lvl>
    <w:lvl w:ilvl="8" w:tplc="7EAC084E" w:tentative="1">
      <w:start w:val="1"/>
      <w:numFmt w:val="lowerRoman"/>
      <w:lvlText w:val="%9."/>
      <w:lvlJc w:val="right"/>
      <w:pPr>
        <w:ind w:left="7200" w:hanging="180"/>
      </w:pPr>
    </w:lvl>
  </w:abstractNum>
  <w:num w:numId="1" w16cid:durableId="136537168">
    <w:abstractNumId w:val="1"/>
  </w:num>
  <w:num w:numId="2" w16cid:durableId="697201725">
    <w:abstractNumId w:val="2"/>
  </w:num>
  <w:num w:numId="3" w16cid:durableId="976108683">
    <w:abstractNumId w:val="0"/>
  </w:num>
  <w:num w:numId="4" w16cid:durableId="367874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C9"/>
    <w:rsid w:val="0006400F"/>
    <w:rsid w:val="000B25D8"/>
    <w:rsid w:val="000D0B24"/>
    <w:rsid w:val="000D5157"/>
    <w:rsid w:val="000E589A"/>
    <w:rsid w:val="00182EC9"/>
    <w:rsid w:val="002009C3"/>
    <w:rsid w:val="0028069A"/>
    <w:rsid w:val="00325376"/>
    <w:rsid w:val="00371EE5"/>
    <w:rsid w:val="00372297"/>
    <w:rsid w:val="00372CCB"/>
    <w:rsid w:val="003E3A42"/>
    <w:rsid w:val="005116FD"/>
    <w:rsid w:val="005E6E98"/>
    <w:rsid w:val="00695768"/>
    <w:rsid w:val="006B0546"/>
    <w:rsid w:val="00736FDB"/>
    <w:rsid w:val="00766F31"/>
    <w:rsid w:val="00801C77"/>
    <w:rsid w:val="008A2899"/>
    <w:rsid w:val="008F43F9"/>
    <w:rsid w:val="00931D13"/>
    <w:rsid w:val="00932F40"/>
    <w:rsid w:val="00A11DD0"/>
    <w:rsid w:val="00B879A3"/>
    <w:rsid w:val="00BD5363"/>
    <w:rsid w:val="00C07D22"/>
    <w:rsid w:val="00DE1B67"/>
    <w:rsid w:val="00E04287"/>
    <w:rsid w:val="00F811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94ABC"/>
  <w15:docId w15:val="{28A1DA06-3F35-452E-8B4F-D368DA9F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2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EC9"/>
  </w:style>
  <w:style w:type="paragraph" w:styleId="ListParagraph">
    <w:name w:val="List Paragraph"/>
    <w:basedOn w:val="Normal"/>
    <w:link w:val="ListParagraphChar"/>
    <w:uiPriority w:val="34"/>
    <w:qFormat/>
    <w:rsid w:val="00182EC9"/>
    <w:pPr>
      <w:widowControl w:val="0"/>
      <w:autoSpaceDE w:val="0"/>
      <w:autoSpaceDN w:val="0"/>
      <w:adjustRightInd w:val="0"/>
      <w:spacing w:before="120" w:after="120" w:line="240" w:lineRule="auto"/>
      <w:ind w:left="720" w:right="144"/>
      <w:jc w:val="both"/>
    </w:pPr>
    <w:rPr>
      <w:rFonts w:ascii="Times New Roman" w:eastAsia="Times New Roman" w:hAnsi="Times New Roman" w:cs="Times New Roman"/>
      <w:sz w:val="20"/>
      <w:szCs w:val="24"/>
      <w:lang w:val="en-US"/>
    </w:rPr>
  </w:style>
  <w:style w:type="character" w:customStyle="1" w:styleId="ListParagraphChar">
    <w:name w:val="List Paragraph Char"/>
    <w:link w:val="ListParagraph"/>
    <w:uiPriority w:val="34"/>
    <w:locked/>
    <w:rsid w:val="00182EC9"/>
    <w:rPr>
      <w:rFonts w:ascii="Times New Roman" w:eastAsia="Times New Roman" w:hAnsi="Times New Roman" w:cs="Times New Roman"/>
      <w:sz w:val="20"/>
      <w:szCs w:val="24"/>
      <w:lang w:val="en-US"/>
    </w:rPr>
  </w:style>
  <w:style w:type="paragraph" w:styleId="Header">
    <w:name w:val="header"/>
    <w:basedOn w:val="Normal"/>
    <w:link w:val="HeaderChar"/>
    <w:unhideWhenUsed/>
    <w:rsid w:val="00182EC9"/>
    <w:pPr>
      <w:tabs>
        <w:tab w:val="center" w:pos="4513"/>
        <w:tab w:val="right" w:pos="9026"/>
      </w:tabs>
      <w:spacing w:after="0" w:line="240" w:lineRule="auto"/>
    </w:pPr>
  </w:style>
  <w:style w:type="character" w:customStyle="1" w:styleId="HeaderChar">
    <w:name w:val="Header Char"/>
    <w:basedOn w:val="DefaultParagraphFont"/>
    <w:link w:val="Header"/>
    <w:rsid w:val="00182EC9"/>
  </w:style>
  <w:style w:type="paragraph" w:styleId="BalloonText">
    <w:name w:val="Balloon Text"/>
    <w:basedOn w:val="Normal"/>
    <w:link w:val="BalloonTextChar"/>
    <w:uiPriority w:val="99"/>
    <w:semiHidden/>
    <w:unhideWhenUsed/>
    <w:rsid w:val="0018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2288">
      <w:bodyDiv w:val="1"/>
      <w:marLeft w:val="0"/>
      <w:marRight w:val="0"/>
      <w:marTop w:val="0"/>
      <w:marBottom w:val="0"/>
      <w:divBdr>
        <w:top w:val="none" w:sz="0" w:space="0" w:color="auto"/>
        <w:left w:val="none" w:sz="0" w:space="0" w:color="auto"/>
        <w:bottom w:val="none" w:sz="0" w:space="0" w:color="auto"/>
        <w:right w:val="none" w:sz="0" w:space="0" w:color="auto"/>
      </w:divBdr>
    </w:div>
    <w:div w:id="106170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Suarez</dc:creator>
  <cp:lastModifiedBy>Edwin Ramos</cp:lastModifiedBy>
  <cp:revision>2</cp:revision>
  <dcterms:created xsi:type="dcterms:W3CDTF">2025-09-16T07:14:00Z</dcterms:created>
  <dcterms:modified xsi:type="dcterms:W3CDTF">2025-09-16T07:14:00Z</dcterms:modified>
</cp:coreProperties>
</file>