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640"/>
      </w:tblGrid>
      <w:tr w:rsidR="003050B7" w:rsidRPr="002928E9" w14:paraId="5D574478" w14:textId="77777777" w:rsidTr="00980C86">
        <w:tc>
          <w:tcPr>
            <w:tcW w:w="1980" w:type="dxa"/>
          </w:tcPr>
          <w:p w14:paraId="5C4AA6A8" w14:textId="77777777" w:rsidR="00AF0F4A" w:rsidRDefault="00000000">
            <w:pPr>
              <w:spacing w:after="0"/>
            </w:pPr>
            <w:r>
              <w:rPr>
                <w:rFonts w:ascii="Calibri" w:hAnsi="Calibri" w:cs="Calibri"/>
                <w:b/>
              </w:rPr>
              <w:t>Purpose</w:t>
            </w:r>
          </w:p>
        </w:tc>
        <w:tc>
          <w:tcPr>
            <w:tcW w:w="8640" w:type="dxa"/>
          </w:tcPr>
          <w:p w14:paraId="36E85805" w14:textId="77777777" w:rsidR="00AF0F4A" w:rsidRDefault="00000000">
            <w:pPr>
              <w:spacing w:after="120"/>
              <w:jc w:val="both"/>
            </w:pPr>
            <w:r>
              <w:rPr>
                <w:rFonts w:ascii="Calibri" w:hAnsi="Calibri"/>
              </w:rPr>
              <w:t>The purpose of this policy is to make sure every SMSA demobilization, closure, relocation, project exit, or major operational reduction is planned, approved, documented, and completed in a controlled way.</w:t>
            </w:r>
          </w:p>
          <w:p w14:paraId="0A857B41" w14:textId="77777777" w:rsidR="00AF0F4A" w:rsidRDefault="00000000">
            <w:pPr>
              <w:spacing w:after="120"/>
              <w:jc w:val="both"/>
            </w:pPr>
            <w:r>
              <w:rPr>
                <w:rFonts w:ascii="Calibri" w:hAnsi="Calibri"/>
              </w:rPr>
              <w:t>The policy protects SMSA from avoidable loss, continued cost, customer disruption, uncontrolled people or asset movement, open contracts, active system access, legal or regulatory exposure, safety and security issues, and risks that remain after operations stop.</w:t>
            </w:r>
          </w:p>
          <w:p w14:paraId="41AAB1E9" w14:textId="77777777" w:rsidR="00AF0F4A" w:rsidRDefault="00000000">
            <w:pPr>
              <w:spacing w:after="120"/>
              <w:jc w:val="both"/>
              <w:rPr>
                <w:rFonts w:ascii="Calibri" w:hAnsi="Calibri"/>
              </w:rPr>
            </w:pPr>
            <w:r>
              <w:rPr>
                <w:rFonts w:ascii="Calibri" w:hAnsi="Calibri"/>
              </w:rPr>
              <w:t>Stopping work does not by itself complete a demobilization. Final closure is reached only when the required people, assets, customer property, contracts, systems, financial and legal matters, incidents, investigations, and risks have been cleared or formally transferred to an accountable owner, and the required final sign</w:t>
            </w:r>
            <w:r w:rsidR="006A617A">
              <w:rPr>
                <w:rFonts w:ascii="Calibri" w:hAnsi="Calibri"/>
              </w:rPr>
              <w:t xml:space="preserve"> </w:t>
            </w:r>
            <w:r>
              <w:rPr>
                <w:rFonts w:ascii="Calibri" w:hAnsi="Calibri"/>
              </w:rPr>
              <w:t>off is complete.</w:t>
            </w:r>
          </w:p>
          <w:p w14:paraId="3DD6325F" w14:textId="3161E90F" w:rsidR="00E221D2" w:rsidRDefault="00E221D2" w:rsidP="00E221D2">
            <w:pPr>
              <w:spacing w:after="120"/>
              <w:jc w:val="both"/>
            </w:pPr>
            <w:r w:rsidRPr="00E221D2">
              <w:t>Each function must carry out its demobilization activities in accordance with its applicable approved policies, procedures, work instructions and controls. This policy defines the overall demobilization requirements and does not replace departmental processes.</w:t>
            </w:r>
          </w:p>
        </w:tc>
      </w:tr>
      <w:tr w:rsidR="003050B7" w:rsidRPr="002928E9" w14:paraId="7397694E" w14:textId="77777777" w:rsidTr="00980C86">
        <w:tc>
          <w:tcPr>
            <w:tcW w:w="1980" w:type="dxa"/>
          </w:tcPr>
          <w:p w14:paraId="77EAA740" w14:textId="77777777" w:rsidR="00AF0F4A" w:rsidRDefault="00000000">
            <w:pPr>
              <w:spacing w:after="0"/>
            </w:pPr>
            <w:r>
              <w:rPr>
                <w:rFonts w:ascii="Calibri" w:hAnsi="Calibri" w:cs="Calibri"/>
                <w:b/>
              </w:rPr>
              <w:t>Scope</w:t>
            </w:r>
          </w:p>
        </w:tc>
        <w:tc>
          <w:tcPr>
            <w:tcW w:w="8640" w:type="dxa"/>
          </w:tcPr>
          <w:p w14:paraId="001F4587" w14:textId="77777777" w:rsidR="00AF0F4A" w:rsidRDefault="00000000">
            <w:pPr>
              <w:spacing w:after="120"/>
              <w:jc w:val="both"/>
            </w:pPr>
            <w:r>
              <w:rPr>
                <w:rFonts w:ascii="Calibri" w:hAnsi="Calibri"/>
              </w:rPr>
              <w:t>This policy applies across SMSA to countries, functions, departments, business units, regions, stations, warehouses, hubs, service centers, offices, projects, and operational sites controlled or operated by SMSA.</w:t>
            </w:r>
          </w:p>
          <w:p w14:paraId="4ABB0883" w14:textId="2CF178A3" w:rsidR="00AF0F4A" w:rsidRDefault="00000000">
            <w:pPr>
              <w:spacing w:after="120"/>
              <w:jc w:val="both"/>
            </w:pPr>
            <w:r>
              <w:rPr>
                <w:rFonts w:ascii="Calibri" w:hAnsi="Calibri"/>
              </w:rPr>
              <w:t>It applies to permanent, temporary, customer</w:t>
            </w:r>
            <w:r w:rsidR="006A617A">
              <w:rPr>
                <w:rFonts w:ascii="Calibri" w:hAnsi="Calibri"/>
              </w:rPr>
              <w:t xml:space="preserve"> </w:t>
            </w:r>
            <w:r>
              <w:rPr>
                <w:rFonts w:ascii="Calibri" w:hAnsi="Calibri"/>
              </w:rPr>
              <w:t>dedicated, leased, outsourced, 2PL, 3PL, and other logistics operations, including where work is moved from one location or provider to another. It applies when there is:</w:t>
            </w:r>
          </w:p>
          <w:p w14:paraId="04425379" w14:textId="77777777" w:rsidR="00AF0F4A" w:rsidRDefault="00000000">
            <w:pPr>
              <w:pStyle w:val="ListParagraph"/>
              <w:numPr>
                <w:ilvl w:val="0"/>
                <w:numId w:val="2"/>
              </w:numPr>
              <w:spacing w:after="40"/>
              <w:jc w:val="both"/>
            </w:pPr>
            <w:r>
              <w:rPr>
                <w:rFonts w:ascii="Calibri" w:hAnsi="Calibri"/>
              </w:rPr>
              <w:t>Closure or relocation of a warehouse, hub, station, service center, office, or customer site.</w:t>
            </w:r>
          </w:p>
          <w:p w14:paraId="7F890E90" w14:textId="77777777" w:rsidR="00AF0F4A" w:rsidRDefault="00000000">
            <w:pPr>
              <w:pStyle w:val="ListParagraph"/>
              <w:numPr>
                <w:ilvl w:val="0"/>
                <w:numId w:val="2"/>
              </w:numPr>
              <w:spacing w:after="40"/>
              <w:jc w:val="both"/>
            </w:pPr>
            <w:r>
              <w:rPr>
                <w:rFonts w:ascii="Calibri" w:hAnsi="Calibri"/>
              </w:rPr>
              <w:t>Completion, cancellation, loss, reduction, or transfer of a customer contract or project.</w:t>
            </w:r>
          </w:p>
          <w:p w14:paraId="4800A0B3" w14:textId="77777777" w:rsidR="00AF0F4A" w:rsidRDefault="00000000">
            <w:pPr>
              <w:pStyle w:val="ListParagraph"/>
              <w:numPr>
                <w:ilvl w:val="0"/>
                <w:numId w:val="2"/>
              </w:numPr>
              <w:spacing w:after="40"/>
              <w:jc w:val="both"/>
            </w:pPr>
            <w:r>
              <w:rPr>
                <w:rFonts w:ascii="Calibri" w:hAnsi="Calibri"/>
              </w:rPr>
              <w:t>Consolidation of facilities or movement of work to another SMSA location.</w:t>
            </w:r>
          </w:p>
          <w:p w14:paraId="5B21CC91" w14:textId="4BBC7004" w:rsidR="00AF0F4A" w:rsidRDefault="00000000">
            <w:pPr>
              <w:pStyle w:val="ListParagraph"/>
              <w:numPr>
                <w:ilvl w:val="0"/>
                <w:numId w:val="2"/>
              </w:numPr>
              <w:spacing w:after="40"/>
              <w:jc w:val="both"/>
            </w:pPr>
            <w:r>
              <w:rPr>
                <w:rFonts w:ascii="Calibri" w:hAnsi="Calibri"/>
              </w:rPr>
              <w:t xml:space="preserve">Outsourcing, insourcing, or a </w:t>
            </w:r>
            <w:r w:rsidR="006A617A">
              <w:rPr>
                <w:rFonts w:ascii="Calibri" w:hAnsi="Calibri"/>
              </w:rPr>
              <w:t>significant</w:t>
            </w:r>
            <w:r>
              <w:rPr>
                <w:rFonts w:ascii="Calibri" w:hAnsi="Calibri"/>
              </w:rPr>
              <w:t xml:space="preserve"> change in the operating model.</w:t>
            </w:r>
          </w:p>
          <w:p w14:paraId="3AB1B2D7" w14:textId="77777777" w:rsidR="00AF0F4A" w:rsidRDefault="00000000">
            <w:pPr>
              <w:pStyle w:val="ListParagraph"/>
              <w:numPr>
                <w:ilvl w:val="0"/>
                <w:numId w:val="2"/>
              </w:numPr>
              <w:spacing w:after="40"/>
              <w:jc w:val="both"/>
            </w:pPr>
            <w:r>
              <w:rPr>
                <w:rFonts w:ascii="Calibri" w:hAnsi="Calibri"/>
              </w:rPr>
              <w:t>Expiry or early termination of a lease.</w:t>
            </w:r>
          </w:p>
          <w:p w14:paraId="4E26A59E" w14:textId="15DD3E93" w:rsidR="00AF0F4A" w:rsidRDefault="00000000">
            <w:pPr>
              <w:pStyle w:val="ListParagraph"/>
              <w:numPr>
                <w:ilvl w:val="0"/>
                <w:numId w:val="2"/>
              </w:numPr>
              <w:spacing w:after="40"/>
              <w:jc w:val="both"/>
            </w:pPr>
            <w:r>
              <w:rPr>
                <w:rFonts w:ascii="Calibri" w:hAnsi="Calibri"/>
              </w:rPr>
              <w:t>Reduction or cancellation of outsourced manpower or other third</w:t>
            </w:r>
            <w:r w:rsidR="006A617A">
              <w:rPr>
                <w:rFonts w:ascii="Calibri" w:hAnsi="Calibri"/>
              </w:rPr>
              <w:t xml:space="preserve"> </w:t>
            </w:r>
            <w:r>
              <w:rPr>
                <w:rFonts w:ascii="Calibri" w:hAnsi="Calibri"/>
              </w:rPr>
              <w:t>party services.</w:t>
            </w:r>
          </w:p>
          <w:p w14:paraId="3BAC6B20" w14:textId="77777777" w:rsidR="00AF0F4A" w:rsidRDefault="00000000">
            <w:pPr>
              <w:pStyle w:val="ListParagraph"/>
              <w:numPr>
                <w:ilvl w:val="0"/>
                <w:numId w:val="2"/>
              </w:numPr>
              <w:spacing w:after="40"/>
              <w:jc w:val="both"/>
            </w:pPr>
            <w:r>
              <w:rPr>
                <w:rFonts w:ascii="Calibri" w:hAnsi="Calibri"/>
              </w:rPr>
              <w:t>Emergency closure or another event that requires an operation to stop or move quickly.</w:t>
            </w:r>
          </w:p>
          <w:p w14:paraId="60968476" w14:textId="7512FB8C" w:rsidR="00AF0F4A" w:rsidRDefault="00000000">
            <w:pPr>
              <w:spacing w:after="120"/>
              <w:jc w:val="both"/>
            </w:pPr>
            <w:r>
              <w:rPr>
                <w:rFonts w:ascii="Calibri" w:hAnsi="Calibri"/>
              </w:rPr>
              <w:t>The policy covers SMSA employees, outsourced manpower, suppliers, contractors, customer property, SMSA</w:t>
            </w:r>
            <w:r w:rsidR="006A617A">
              <w:rPr>
                <w:rFonts w:ascii="Calibri" w:hAnsi="Calibri"/>
              </w:rPr>
              <w:t xml:space="preserve"> </w:t>
            </w:r>
            <w:r>
              <w:rPr>
                <w:rFonts w:ascii="Calibri" w:hAnsi="Calibri"/>
              </w:rPr>
              <w:t>owned assets, leased or rented assets, vendor</w:t>
            </w:r>
            <w:r w:rsidR="006A617A">
              <w:rPr>
                <w:rFonts w:ascii="Calibri" w:hAnsi="Calibri"/>
              </w:rPr>
              <w:t xml:space="preserve"> </w:t>
            </w:r>
            <w:r>
              <w:rPr>
                <w:rFonts w:ascii="Calibri" w:hAnsi="Calibri"/>
              </w:rPr>
              <w:t>owned assets, and customer</w:t>
            </w:r>
            <w:r w:rsidR="006A617A">
              <w:rPr>
                <w:rFonts w:ascii="Calibri" w:hAnsi="Calibri"/>
              </w:rPr>
              <w:t xml:space="preserve"> </w:t>
            </w:r>
            <w:r>
              <w:rPr>
                <w:rFonts w:ascii="Calibri" w:hAnsi="Calibri"/>
              </w:rPr>
              <w:t>owned equipment while under SMSA control.</w:t>
            </w:r>
          </w:p>
          <w:p w14:paraId="09649AE8" w14:textId="13620A6F" w:rsidR="00AF0F4A" w:rsidRDefault="00000000">
            <w:pPr>
              <w:spacing w:after="120"/>
              <w:jc w:val="both"/>
            </w:pPr>
            <w:r>
              <w:rPr>
                <w:rFonts w:ascii="Calibri" w:hAnsi="Calibri"/>
              </w:rPr>
              <w:t xml:space="preserve">Controls must be proportionate to the size and risk of the change. A Major Demobilization requires the full Demobilization Plan and applicable functional clearances. A smaller closure or relocation may use a simplified closure checklist where there is no </w:t>
            </w:r>
            <w:r w:rsidR="006A617A">
              <w:rPr>
                <w:rFonts w:ascii="Calibri" w:hAnsi="Calibri"/>
              </w:rPr>
              <w:t>significant</w:t>
            </w:r>
            <w:r>
              <w:rPr>
                <w:rFonts w:ascii="Calibri" w:hAnsi="Calibri"/>
              </w:rPr>
              <w:t xml:space="preserve"> customer, people, asset, contract/lease, regulatory, financial, safety/security, IT/data, or business</w:t>
            </w:r>
            <w:r w:rsidR="006A617A">
              <w:rPr>
                <w:rFonts w:ascii="Calibri" w:hAnsi="Calibri"/>
              </w:rPr>
              <w:t xml:space="preserve"> </w:t>
            </w:r>
            <w:r>
              <w:rPr>
                <w:rFonts w:ascii="Calibri" w:hAnsi="Calibri"/>
              </w:rPr>
              <w:t>continuity exposure. Where there is doubt, the Business / Project Owner must consult the relevant functions before using the simplified route.</w:t>
            </w:r>
            <w:r w:rsidR="006A617A">
              <w:rPr>
                <w:rFonts w:ascii="Calibri" w:hAnsi="Calibri"/>
              </w:rPr>
              <w:t xml:space="preserve"> Management of Change Policy and Forms must be considered before making any change.</w:t>
            </w:r>
          </w:p>
        </w:tc>
      </w:tr>
      <w:tr w:rsidR="003050B7" w:rsidRPr="002928E9" w14:paraId="13AAD64B" w14:textId="77777777" w:rsidTr="00980C86">
        <w:tc>
          <w:tcPr>
            <w:tcW w:w="1980" w:type="dxa"/>
          </w:tcPr>
          <w:p w14:paraId="12AFC9ED" w14:textId="77777777" w:rsidR="00AF0F4A" w:rsidRDefault="00000000">
            <w:pPr>
              <w:spacing w:after="0"/>
            </w:pPr>
            <w:r>
              <w:rPr>
                <w:rFonts w:ascii="Calibri" w:hAnsi="Calibri" w:cs="Calibri"/>
                <w:b/>
              </w:rPr>
              <w:t>Responsibilities</w:t>
            </w:r>
          </w:p>
        </w:tc>
        <w:tc>
          <w:tcPr>
            <w:tcW w:w="8640" w:type="dxa"/>
          </w:tcPr>
          <w:p w14:paraId="7CE254D9" w14:textId="77777777" w:rsidR="00AF0F4A" w:rsidRDefault="00000000">
            <w:pPr>
              <w:keepNext/>
              <w:spacing w:before="120" w:after="80"/>
              <w:jc w:val="both"/>
            </w:pPr>
            <w:r>
              <w:rPr>
                <w:rFonts w:ascii="Calibri" w:hAnsi="Calibri"/>
                <w:b/>
              </w:rPr>
              <w:t>Business / Project Owner</w:t>
            </w:r>
          </w:p>
          <w:p w14:paraId="11DDFB2D" w14:textId="745A5B10" w:rsidR="00AF0F4A" w:rsidRDefault="00000000" w:rsidP="00580372">
            <w:pPr>
              <w:keepLines/>
              <w:spacing w:after="40"/>
              <w:jc w:val="both"/>
            </w:pPr>
            <w:r>
              <w:rPr>
                <w:rFonts w:ascii="Calibri" w:hAnsi="Calibri"/>
              </w:rPr>
              <w:t xml:space="preserve">Initiates the demobilization, appoints the Demobilization Lead, confirms whether the full or simplified route applies, ensures required functions participate, and remains accountable for final closure under the current </w:t>
            </w:r>
            <w:r w:rsidR="006A617A">
              <w:rPr>
                <w:rFonts w:ascii="Calibri" w:hAnsi="Calibri"/>
              </w:rPr>
              <w:t>authority as per approved Org Chart</w:t>
            </w:r>
            <w:r>
              <w:rPr>
                <w:rFonts w:ascii="Calibri" w:hAnsi="Calibri"/>
              </w:rPr>
              <w:t>.</w:t>
            </w:r>
          </w:p>
          <w:p w14:paraId="0BF9A805" w14:textId="77777777" w:rsidR="00AF0F4A" w:rsidRDefault="00000000">
            <w:pPr>
              <w:keepNext/>
              <w:spacing w:before="120" w:after="80"/>
              <w:jc w:val="both"/>
            </w:pPr>
            <w:r>
              <w:rPr>
                <w:rFonts w:ascii="Calibri" w:hAnsi="Calibri"/>
                <w:b/>
              </w:rPr>
              <w:t>Demobilization Lead</w:t>
            </w:r>
          </w:p>
          <w:p w14:paraId="03AF83EA" w14:textId="232E5ED4" w:rsidR="00AF0F4A" w:rsidRDefault="00000000" w:rsidP="00580372">
            <w:pPr>
              <w:keepLines/>
              <w:spacing w:after="40"/>
              <w:jc w:val="both"/>
            </w:pPr>
            <w:r>
              <w:rPr>
                <w:rFonts w:ascii="Calibri" w:hAnsi="Calibri"/>
              </w:rPr>
              <w:lastRenderedPageBreak/>
              <w:t>Coordinates the plan or checklist, action tracker, evidence, handovers, functional clearances, unresolved</w:t>
            </w:r>
            <w:r w:rsidR="006A617A">
              <w:rPr>
                <w:rFonts w:ascii="Calibri" w:hAnsi="Calibri"/>
              </w:rPr>
              <w:t xml:space="preserve"> </w:t>
            </w:r>
            <w:r>
              <w:rPr>
                <w:rFonts w:ascii="Calibri" w:hAnsi="Calibri"/>
              </w:rPr>
              <w:t>item escalation, and final sign</w:t>
            </w:r>
            <w:r w:rsidR="006A617A">
              <w:rPr>
                <w:rFonts w:ascii="Calibri" w:hAnsi="Calibri"/>
              </w:rPr>
              <w:t xml:space="preserve"> </w:t>
            </w:r>
            <w:r>
              <w:rPr>
                <w:rFonts w:ascii="Calibri" w:hAnsi="Calibri"/>
              </w:rPr>
              <w:t>off pack. At the start, the Lead records which functions must provide final clearance.</w:t>
            </w:r>
          </w:p>
          <w:p w14:paraId="7F644F0B" w14:textId="77777777" w:rsidR="00AF0F4A" w:rsidRDefault="00000000">
            <w:pPr>
              <w:keepNext/>
              <w:spacing w:before="120" w:after="80"/>
              <w:jc w:val="both"/>
            </w:pPr>
            <w:r>
              <w:rPr>
                <w:rFonts w:ascii="Calibri" w:hAnsi="Calibri"/>
                <w:b/>
              </w:rPr>
              <w:t>Operations / Business Function</w:t>
            </w:r>
          </w:p>
          <w:p w14:paraId="46394B30" w14:textId="77777777" w:rsidR="00AF0F4A" w:rsidRDefault="00000000" w:rsidP="00580372">
            <w:pPr>
              <w:keepLines/>
              <w:spacing w:after="40"/>
              <w:jc w:val="both"/>
            </w:pPr>
            <w:r>
              <w:rPr>
                <w:rFonts w:ascii="Calibri" w:hAnsi="Calibri"/>
              </w:rPr>
              <w:t>Owns operational closure or transfer, including shipments, customer property, open work, continuity, and handover.</w:t>
            </w:r>
          </w:p>
          <w:p w14:paraId="1F064363" w14:textId="77777777" w:rsidR="00AF0F4A" w:rsidRDefault="00000000">
            <w:pPr>
              <w:keepNext/>
              <w:spacing w:before="120" w:after="80"/>
              <w:jc w:val="both"/>
            </w:pPr>
            <w:r>
              <w:rPr>
                <w:rFonts w:ascii="Calibri" w:hAnsi="Calibri"/>
                <w:b/>
              </w:rPr>
              <w:t>Human Resources (HR)</w:t>
            </w:r>
          </w:p>
          <w:p w14:paraId="4E53E35D" w14:textId="15C4A152" w:rsidR="00AF0F4A" w:rsidRDefault="00000000" w:rsidP="00580372">
            <w:pPr>
              <w:keepLines/>
              <w:spacing w:after="40"/>
              <w:jc w:val="both"/>
            </w:pPr>
            <w:r>
              <w:rPr>
                <w:rFonts w:ascii="Calibri" w:hAnsi="Calibri"/>
              </w:rPr>
              <w:t>Controls SMSA employee transfer, reassignment, separation, clearance, and required HR/receiving</w:t>
            </w:r>
            <w:r w:rsidR="006A617A">
              <w:rPr>
                <w:rFonts w:ascii="Calibri" w:hAnsi="Calibri"/>
              </w:rPr>
              <w:t xml:space="preserve"> </w:t>
            </w:r>
            <w:r>
              <w:rPr>
                <w:rFonts w:ascii="Calibri" w:hAnsi="Calibri"/>
              </w:rPr>
              <w:t>manager records.</w:t>
            </w:r>
          </w:p>
          <w:p w14:paraId="03463BAF" w14:textId="77777777" w:rsidR="00AF0F4A" w:rsidRDefault="00000000">
            <w:pPr>
              <w:keepNext/>
              <w:spacing w:before="120" w:after="80"/>
              <w:jc w:val="both"/>
            </w:pPr>
            <w:r>
              <w:rPr>
                <w:rFonts w:ascii="Calibri" w:hAnsi="Calibri"/>
                <w:b/>
              </w:rPr>
              <w:t>Sales / Commercial</w:t>
            </w:r>
          </w:p>
          <w:p w14:paraId="386C5455" w14:textId="77777777" w:rsidR="00AF0F4A" w:rsidRDefault="00000000" w:rsidP="00580372">
            <w:pPr>
              <w:keepLines/>
              <w:spacing w:after="40"/>
              <w:jc w:val="both"/>
            </w:pPr>
            <w:r>
              <w:rPr>
                <w:rFonts w:ascii="Calibri" w:hAnsi="Calibri"/>
              </w:rPr>
              <w:t>Owns customer/commercial exit obligations and customer communication, working with the Logistics / Project Owner and Legal where applicable.</w:t>
            </w:r>
          </w:p>
          <w:p w14:paraId="2EEC1DB8" w14:textId="77777777" w:rsidR="00AF0F4A" w:rsidRDefault="00000000">
            <w:pPr>
              <w:keepNext/>
              <w:spacing w:before="120" w:after="80"/>
              <w:jc w:val="both"/>
            </w:pPr>
            <w:r>
              <w:rPr>
                <w:rFonts w:ascii="Calibri" w:hAnsi="Calibri"/>
                <w:b/>
              </w:rPr>
              <w:t>Contract Owner</w:t>
            </w:r>
          </w:p>
          <w:p w14:paraId="333CE859" w14:textId="77777777" w:rsidR="00AF0F4A" w:rsidRDefault="00000000" w:rsidP="00580372">
            <w:pPr>
              <w:keepLines/>
              <w:spacing w:after="40"/>
              <w:jc w:val="both"/>
            </w:pPr>
            <w:r>
              <w:rPr>
                <w:rFonts w:ascii="Calibri" w:hAnsi="Calibri"/>
              </w:rPr>
              <w:t>Identifies and formally closes, transfers, reduces, or reassigns contracts owned by the function and remains accountable until written evidence is obtained.</w:t>
            </w:r>
          </w:p>
          <w:p w14:paraId="42AA6344" w14:textId="77777777" w:rsidR="00AF0F4A" w:rsidRDefault="00000000">
            <w:pPr>
              <w:keepNext/>
              <w:spacing w:before="120" w:after="80"/>
              <w:jc w:val="both"/>
            </w:pPr>
            <w:r>
              <w:rPr>
                <w:rFonts w:ascii="Calibri" w:hAnsi="Calibri"/>
                <w:b/>
              </w:rPr>
              <w:t>Purchasing</w:t>
            </w:r>
          </w:p>
          <w:p w14:paraId="1DAF05BE" w14:textId="5D669D00" w:rsidR="00AF0F4A" w:rsidRDefault="00000000" w:rsidP="00580372">
            <w:pPr>
              <w:keepLines/>
              <w:spacing w:after="40"/>
              <w:jc w:val="both"/>
            </w:pPr>
            <w:r>
              <w:rPr>
                <w:rFonts w:ascii="Calibri" w:hAnsi="Calibri"/>
              </w:rPr>
              <w:t xml:space="preserve">Handles Purchasing processes, POs, sourcing arrangements, and procurement commitments within its </w:t>
            </w:r>
            <w:r w:rsidR="006A617A">
              <w:rPr>
                <w:rFonts w:ascii="Calibri" w:hAnsi="Calibri"/>
              </w:rPr>
              <w:t>control</w:t>
            </w:r>
            <w:r>
              <w:rPr>
                <w:rFonts w:ascii="Calibri" w:hAnsi="Calibri"/>
              </w:rPr>
              <w:t>. Purchasing is not the blanket owner of facility, logistics, project, or customer contracts.</w:t>
            </w:r>
          </w:p>
          <w:p w14:paraId="5E7BFBED" w14:textId="77777777" w:rsidR="00AF0F4A" w:rsidRDefault="00000000">
            <w:pPr>
              <w:keepNext/>
              <w:spacing w:before="120" w:after="80"/>
              <w:jc w:val="both"/>
            </w:pPr>
            <w:r>
              <w:rPr>
                <w:rFonts w:ascii="Calibri" w:hAnsi="Calibri"/>
                <w:b/>
              </w:rPr>
              <w:t>Finance / Insurance</w:t>
            </w:r>
          </w:p>
          <w:p w14:paraId="557C8BE3" w14:textId="77777777" w:rsidR="00AF0F4A" w:rsidRDefault="00000000" w:rsidP="00580372">
            <w:pPr>
              <w:keepLines/>
              <w:spacing w:after="40"/>
              <w:jc w:val="both"/>
            </w:pPr>
            <w:r>
              <w:rPr>
                <w:rFonts w:ascii="Calibri" w:hAnsi="Calibri"/>
              </w:rPr>
              <w:t>Coordinates financial closure and insurance impact, including open obligations, required coverage changes or broker/insurer action, claims, deposits, guarantees, and known continuing financial exposure.</w:t>
            </w:r>
          </w:p>
          <w:p w14:paraId="260F66AC" w14:textId="77777777" w:rsidR="00AF0F4A" w:rsidRDefault="00000000">
            <w:pPr>
              <w:keepNext/>
              <w:spacing w:before="120" w:after="80"/>
              <w:jc w:val="both"/>
            </w:pPr>
            <w:r>
              <w:rPr>
                <w:rFonts w:ascii="Calibri" w:hAnsi="Calibri"/>
                <w:b/>
              </w:rPr>
              <w:t>Inventory Department</w:t>
            </w:r>
          </w:p>
          <w:p w14:paraId="37E29AD8" w14:textId="0C14BC11" w:rsidR="00AF0F4A" w:rsidRDefault="00000000" w:rsidP="00580372">
            <w:pPr>
              <w:keepLines/>
              <w:spacing w:after="40"/>
              <w:jc w:val="both"/>
            </w:pPr>
            <w:r>
              <w:rPr>
                <w:rFonts w:ascii="Calibri" w:hAnsi="Calibri"/>
              </w:rPr>
              <w:t>Controls the SMSA asset register, reconciliation, approved movements, auction referrals, disposal records, and identification of third</w:t>
            </w:r>
            <w:r w:rsidR="006A617A">
              <w:rPr>
                <w:rFonts w:ascii="Calibri" w:hAnsi="Calibri"/>
              </w:rPr>
              <w:t xml:space="preserve"> </w:t>
            </w:r>
            <w:r>
              <w:rPr>
                <w:rFonts w:ascii="Calibri" w:hAnsi="Calibri"/>
              </w:rPr>
              <w:t>party items for return.</w:t>
            </w:r>
          </w:p>
          <w:p w14:paraId="0B5B1974" w14:textId="77777777" w:rsidR="00AF0F4A" w:rsidRDefault="00000000">
            <w:pPr>
              <w:keepNext/>
              <w:spacing w:before="120" w:after="80"/>
              <w:jc w:val="both"/>
            </w:pPr>
            <w:r>
              <w:rPr>
                <w:rFonts w:ascii="Calibri" w:hAnsi="Calibri"/>
                <w:b/>
              </w:rPr>
              <w:t>Fleet</w:t>
            </w:r>
          </w:p>
          <w:p w14:paraId="40EC2778" w14:textId="77777777" w:rsidR="00AF0F4A" w:rsidRDefault="00000000" w:rsidP="00580372">
            <w:pPr>
              <w:keepLines/>
              <w:spacing w:after="40"/>
              <w:jc w:val="both"/>
            </w:pPr>
            <w:r>
              <w:rPr>
                <w:rFonts w:ascii="Calibri" w:hAnsi="Calibri"/>
              </w:rPr>
              <w:t>Confirms the condition, movement, return, or decommissioning of vehicles and other specialist equipment under its control.</w:t>
            </w:r>
          </w:p>
          <w:p w14:paraId="3EB30681" w14:textId="77777777" w:rsidR="00AF0F4A" w:rsidRDefault="00000000">
            <w:pPr>
              <w:keepNext/>
              <w:spacing w:before="120" w:after="80"/>
              <w:jc w:val="both"/>
            </w:pPr>
            <w:r>
              <w:rPr>
                <w:rFonts w:ascii="Calibri" w:hAnsi="Calibri"/>
                <w:b/>
              </w:rPr>
              <w:t>Information Technology Department (ITD)</w:t>
            </w:r>
          </w:p>
          <w:p w14:paraId="750D4985" w14:textId="77777777" w:rsidR="00AF0F4A" w:rsidRDefault="00000000" w:rsidP="00580372">
            <w:pPr>
              <w:keepLines/>
              <w:spacing w:after="40"/>
              <w:jc w:val="both"/>
            </w:pPr>
            <w:r>
              <w:rPr>
                <w:rFonts w:ascii="Calibri" w:hAnsi="Calibri"/>
              </w:rPr>
              <w:t>Owns IT asset, system, access, data, license, and technical/data clearance actions during demobilization.</w:t>
            </w:r>
          </w:p>
          <w:p w14:paraId="19CA582C" w14:textId="77777777" w:rsidR="00AF0F4A" w:rsidRDefault="00000000">
            <w:pPr>
              <w:keepNext/>
              <w:spacing w:before="120" w:after="80"/>
              <w:jc w:val="both"/>
            </w:pPr>
            <w:r>
              <w:rPr>
                <w:rFonts w:ascii="Calibri" w:hAnsi="Calibri"/>
                <w:b/>
              </w:rPr>
              <w:t>Facilities / Administration</w:t>
            </w:r>
          </w:p>
          <w:p w14:paraId="02A55659" w14:textId="40ECA50C" w:rsidR="00AF0F4A" w:rsidRDefault="00000000" w:rsidP="00580372">
            <w:pPr>
              <w:keepLines/>
              <w:spacing w:after="40"/>
              <w:jc w:val="both"/>
            </w:pPr>
            <w:r>
              <w:rPr>
                <w:rFonts w:ascii="Calibri" w:hAnsi="Calibri"/>
              </w:rPr>
              <w:t>Owns facility, lease, landlord, site</w:t>
            </w:r>
            <w:r w:rsidR="006A617A">
              <w:rPr>
                <w:rFonts w:ascii="Calibri" w:hAnsi="Calibri"/>
              </w:rPr>
              <w:t xml:space="preserve"> </w:t>
            </w:r>
            <w:r>
              <w:rPr>
                <w:rFonts w:ascii="Calibri" w:hAnsi="Calibri"/>
              </w:rPr>
              <w:t>service closure and site handover, including utilities and facility services.</w:t>
            </w:r>
          </w:p>
          <w:p w14:paraId="1BEE36F4" w14:textId="77777777" w:rsidR="00AF0F4A" w:rsidRDefault="00000000">
            <w:pPr>
              <w:keepNext/>
              <w:spacing w:before="120" w:after="80"/>
              <w:jc w:val="both"/>
            </w:pPr>
            <w:r>
              <w:rPr>
                <w:rFonts w:ascii="Calibri" w:hAnsi="Calibri"/>
                <w:b/>
              </w:rPr>
              <w:t>Security / EHS (Where applicable)</w:t>
            </w:r>
          </w:p>
          <w:p w14:paraId="1CBEDEF9" w14:textId="68D1385E" w:rsidR="00AF0F4A" w:rsidRDefault="00000000" w:rsidP="00580372">
            <w:pPr>
              <w:keepLines/>
              <w:spacing w:after="40"/>
              <w:jc w:val="both"/>
            </w:pPr>
            <w:r>
              <w:rPr>
                <w:rFonts w:ascii="Calibri" w:hAnsi="Calibri"/>
              </w:rPr>
              <w:t>Maintains safety, security, fire/life</w:t>
            </w:r>
            <w:r w:rsidR="006A617A">
              <w:rPr>
                <w:rFonts w:ascii="Calibri" w:hAnsi="Calibri"/>
              </w:rPr>
              <w:t xml:space="preserve"> </w:t>
            </w:r>
            <w:r>
              <w:rPr>
                <w:rFonts w:ascii="Calibri" w:hAnsi="Calibri"/>
              </w:rPr>
              <w:t>safety, access, and environmental controls until physical handover is complete.</w:t>
            </w:r>
          </w:p>
          <w:p w14:paraId="617CC701" w14:textId="77777777" w:rsidR="00AF0F4A" w:rsidRDefault="00000000">
            <w:pPr>
              <w:keepNext/>
              <w:spacing w:before="120" w:after="80"/>
              <w:jc w:val="both"/>
            </w:pPr>
            <w:r>
              <w:rPr>
                <w:rFonts w:ascii="Calibri" w:hAnsi="Calibri"/>
                <w:b/>
              </w:rPr>
              <w:lastRenderedPageBreak/>
              <w:t>Legal</w:t>
            </w:r>
          </w:p>
          <w:p w14:paraId="0AEB5552" w14:textId="13CCC9A8" w:rsidR="00AF0F4A" w:rsidRDefault="00000000" w:rsidP="00580372">
            <w:pPr>
              <w:keepLines/>
              <w:spacing w:after="40"/>
              <w:jc w:val="both"/>
            </w:pPr>
            <w:r>
              <w:rPr>
                <w:rFonts w:ascii="Calibri" w:hAnsi="Calibri"/>
              </w:rPr>
              <w:t xml:space="preserve">Provides legal and regulatory review, manages formal legal/regulatory actions within its </w:t>
            </w:r>
            <w:r w:rsidR="006A617A">
              <w:rPr>
                <w:rFonts w:ascii="Calibri" w:hAnsi="Calibri"/>
              </w:rPr>
              <w:t>control</w:t>
            </w:r>
            <w:r>
              <w:rPr>
                <w:rFonts w:ascii="Calibri" w:hAnsi="Calibri"/>
              </w:rPr>
              <w:t>, and advises the accountable business or functional owner. Contract and corrective</w:t>
            </w:r>
            <w:r w:rsidR="006A617A">
              <w:rPr>
                <w:rFonts w:ascii="Calibri" w:hAnsi="Calibri"/>
              </w:rPr>
              <w:t xml:space="preserve"> </w:t>
            </w:r>
            <w:r>
              <w:rPr>
                <w:rFonts w:ascii="Calibri" w:hAnsi="Calibri"/>
              </w:rPr>
              <w:t>action ownership remains with the responsible business function.</w:t>
            </w:r>
          </w:p>
          <w:p w14:paraId="0134EA1C" w14:textId="77777777" w:rsidR="00AF0F4A" w:rsidRDefault="00000000">
            <w:pPr>
              <w:keepNext/>
              <w:spacing w:before="120" w:after="80"/>
              <w:jc w:val="both"/>
            </w:pPr>
            <w:r>
              <w:rPr>
                <w:rFonts w:ascii="Calibri" w:hAnsi="Calibri"/>
                <w:b/>
              </w:rPr>
              <w:t>Quality &amp; Risk Management (QRM)</w:t>
            </w:r>
          </w:p>
          <w:p w14:paraId="6605D3F1" w14:textId="4B3FF3ED" w:rsidR="00AF0F4A" w:rsidRDefault="00000000" w:rsidP="00E221D2">
            <w:pPr>
              <w:keepLines/>
              <w:spacing w:after="40"/>
              <w:jc w:val="both"/>
            </w:pPr>
            <w:r>
              <w:rPr>
                <w:rFonts w:ascii="Calibri" w:hAnsi="Calibri"/>
              </w:rPr>
              <w:t>Provides risk oversight, supports incident/investigation requirements</w:t>
            </w:r>
            <w:r w:rsidR="00E221D2">
              <w:rPr>
                <w:rFonts w:ascii="Calibri" w:hAnsi="Calibri"/>
              </w:rPr>
              <w:t xml:space="preserve"> </w:t>
            </w:r>
            <w:r>
              <w:rPr>
                <w:rFonts w:ascii="Calibri" w:hAnsi="Calibri"/>
              </w:rPr>
              <w:t>and confirms appropriate transfer of open risks.</w:t>
            </w:r>
            <w:r w:rsidR="00E221D2" w:rsidRPr="00E221D2">
              <w:t xml:space="preserve"> </w:t>
            </w:r>
            <w:r w:rsidR="00E221D2" w:rsidRPr="00E221D2">
              <w:rPr>
                <w:rFonts w:ascii="Calibri" w:hAnsi="Calibri"/>
              </w:rPr>
              <w:t>QRM will verify implementation of applicable demobilization requirements as part of its scheduled departmental/process audits, where applicable</w:t>
            </w:r>
            <w:r w:rsidR="00E221D2">
              <w:rPr>
                <w:rFonts w:ascii="Calibri" w:hAnsi="Calibri"/>
              </w:rPr>
              <w:t>.</w:t>
            </w:r>
            <w:r w:rsidR="00E221D2" w:rsidRPr="00E221D2">
              <w:t xml:space="preserve"> </w:t>
            </w:r>
            <w:r w:rsidR="00E221D2" w:rsidRPr="00E221D2">
              <w:rPr>
                <w:rFonts w:ascii="Calibri" w:hAnsi="Calibri"/>
              </w:rPr>
              <w:t>Responsibility for implementing the required controls remains with the respective department.</w:t>
            </w:r>
          </w:p>
          <w:p w14:paraId="08A09EFE" w14:textId="77777777" w:rsidR="00AF0F4A" w:rsidRDefault="00000000">
            <w:pPr>
              <w:keepNext/>
              <w:spacing w:before="120" w:after="80"/>
              <w:jc w:val="both"/>
            </w:pPr>
            <w:r>
              <w:rPr>
                <w:rFonts w:ascii="Calibri" w:hAnsi="Calibri"/>
                <w:b/>
              </w:rPr>
              <w:t>Receiving Location / Receiving Manager</w:t>
            </w:r>
          </w:p>
          <w:p w14:paraId="15003E6F" w14:textId="77777777" w:rsidR="00AF0F4A" w:rsidRDefault="00000000" w:rsidP="00580372">
            <w:pPr>
              <w:keepLines/>
              <w:spacing w:after="40"/>
              <w:jc w:val="both"/>
            </w:pPr>
            <w:r>
              <w:rPr>
                <w:rFonts w:ascii="Calibri" w:hAnsi="Calibri"/>
              </w:rPr>
              <w:t>Confirms readiness and formally accepts transferred people, assets, customer work, systems, and responsibilities.</w:t>
            </w:r>
          </w:p>
          <w:p w14:paraId="4567D8BA" w14:textId="77777777" w:rsidR="00AF0F4A" w:rsidRDefault="00000000">
            <w:pPr>
              <w:keepNext/>
              <w:spacing w:before="120" w:after="80"/>
              <w:jc w:val="both"/>
            </w:pPr>
            <w:r>
              <w:rPr>
                <w:rFonts w:ascii="Calibri" w:hAnsi="Calibri"/>
                <w:b/>
              </w:rPr>
              <w:t>Internal Audit</w:t>
            </w:r>
          </w:p>
          <w:p w14:paraId="3BF23E73" w14:textId="77777777" w:rsidR="00AF0F4A" w:rsidRDefault="00000000" w:rsidP="00580372">
            <w:pPr>
              <w:keepLines/>
              <w:spacing w:after="40"/>
              <w:jc w:val="both"/>
            </w:pPr>
            <w:r>
              <w:rPr>
                <w:rFonts w:ascii="Calibri" w:hAnsi="Calibri"/>
              </w:rPr>
              <w:t>May independently review the process and evidence but does not operate the demobilization or approve management actions.</w:t>
            </w:r>
          </w:p>
          <w:p w14:paraId="57528450" w14:textId="6E46D495" w:rsidR="00AF0F4A" w:rsidRDefault="00000000">
            <w:pPr>
              <w:spacing w:after="120"/>
              <w:jc w:val="both"/>
            </w:pPr>
            <w:r>
              <w:rPr>
                <w:rFonts w:ascii="Calibri" w:hAnsi="Calibri"/>
              </w:rPr>
              <w:t xml:space="preserve">This policy does not create or change approval limits. Approval authority remains governed by the current SMSA Authority </w:t>
            </w:r>
            <w:r w:rsidR="006A617A">
              <w:rPr>
                <w:rFonts w:ascii="Calibri" w:hAnsi="Calibri"/>
              </w:rPr>
              <w:t xml:space="preserve">as per approved Org Structure </w:t>
            </w:r>
            <w:r>
              <w:rPr>
                <w:rFonts w:ascii="Calibri" w:hAnsi="Calibri"/>
              </w:rPr>
              <w:t xml:space="preserve">and other applicable approved </w:t>
            </w:r>
            <w:r w:rsidR="006A617A">
              <w:rPr>
                <w:rFonts w:ascii="Calibri" w:hAnsi="Calibri"/>
              </w:rPr>
              <w:t>governance policies where available</w:t>
            </w:r>
            <w:r>
              <w:rPr>
                <w:rFonts w:ascii="Calibri" w:hAnsi="Calibri"/>
              </w:rPr>
              <w:t>.</w:t>
            </w:r>
          </w:p>
        </w:tc>
      </w:tr>
      <w:tr w:rsidR="00482EF0" w:rsidRPr="002928E9" w14:paraId="67C8C4BA" w14:textId="77777777" w:rsidTr="00980C86">
        <w:tc>
          <w:tcPr>
            <w:tcW w:w="1980" w:type="dxa"/>
          </w:tcPr>
          <w:p w14:paraId="1BEBBDEF" w14:textId="77777777" w:rsidR="00AF0F4A" w:rsidRDefault="00000000">
            <w:pPr>
              <w:spacing w:after="0"/>
            </w:pPr>
            <w:r>
              <w:rPr>
                <w:rFonts w:ascii="Calibri" w:hAnsi="Calibri" w:cs="Calibri"/>
                <w:b/>
              </w:rPr>
              <w:lastRenderedPageBreak/>
              <w:t>Definitions</w:t>
            </w:r>
          </w:p>
        </w:tc>
        <w:tc>
          <w:tcPr>
            <w:tcW w:w="8640" w:type="dxa"/>
          </w:tcPr>
          <w:p w14:paraId="3DE246A0" w14:textId="77777777" w:rsidR="00AF0F4A" w:rsidRDefault="00000000">
            <w:pPr>
              <w:spacing w:after="100"/>
              <w:jc w:val="both"/>
            </w:pPr>
            <w:r>
              <w:rPr>
                <w:rFonts w:ascii="Calibri" w:hAnsi="Calibri"/>
                <w:b/>
              </w:rPr>
              <w:t xml:space="preserve">Demobilization: </w:t>
            </w:r>
            <w:r>
              <w:rPr>
                <w:rFonts w:ascii="Calibri" w:hAnsi="Calibri"/>
              </w:rPr>
              <w:t>The controlled process of reducing, relocating, transferring, or ending an operation and clearing or transferring its people, assets, customer items, contracts, systems, financial matters, obligations, and risks.</w:t>
            </w:r>
          </w:p>
          <w:p w14:paraId="2CBC48EF" w14:textId="2788AA22" w:rsidR="00AF0F4A" w:rsidRDefault="00000000">
            <w:pPr>
              <w:spacing w:after="100"/>
              <w:jc w:val="both"/>
            </w:pPr>
            <w:r>
              <w:rPr>
                <w:rFonts w:ascii="Calibri" w:hAnsi="Calibri"/>
                <w:b/>
              </w:rPr>
              <w:t xml:space="preserve">Major Demobilization: </w:t>
            </w:r>
            <w:r>
              <w:rPr>
                <w:rFonts w:ascii="Calibri" w:hAnsi="Calibri"/>
              </w:rPr>
              <w:t xml:space="preserve">A closure, relocation, project exit, or operating reduction that may </w:t>
            </w:r>
            <w:r w:rsidR="006A617A">
              <w:rPr>
                <w:rFonts w:ascii="Calibri" w:hAnsi="Calibri"/>
              </w:rPr>
              <w:t>significantly</w:t>
            </w:r>
            <w:r>
              <w:rPr>
                <w:rFonts w:ascii="Calibri" w:hAnsi="Calibri"/>
              </w:rPr>
              <w:t xml:space="preserve"> affect customers, manpower, assets, a facility or lease, regulatory obligations, financial exposure, safety/security, IT/data, or business continuity. Where the impact is uncertain, the full process should be used until the appropriate route is confirmed.</w:t>
            </w:r>
          </w:p>
          <w:p w14:paraId="4E46C660" w14:textId="77777777" w:rsidR="00AF0F4A" w:rsidRDefault="00000000">
            <w:pPr>
              <w:spacing w:after="100"/>
              <w:jc w:val="both"/>
            </w:pPr>
            <w:r>
              <w:rPr>
                <w:rFonts w:ascii="Calibri" w:hAnsi="Calibri"/>
                <w:b/>
              </w:rPr>
              <w:t xml:space="preserve">Closure: </w:t>
            </w:r>
            <w:r>
              <w:rPr>
                <w:rFonts w:ascii="Calibri" w:hAnsi="Calibri"/>
              </w:rPr>
              <w:t>Permanent or temporary stopping of an SMSA operation, location, project, or service.</w:t>
            </w:r>
          </w:p>
          <w:p w14:paraId="0C352AA5" w14:textId="77777777" w:rsidR="00AF0F4A" w:rsidRDefault="00000000">
            <w:pPr>
              <w:spacing w:after="100"/>
              <w:jc w:val="both"/>
            </w:pPr>
            <w:r>
              <w:rPr>
                <w:rFonts w:ascii="Calibri" w:hAnsi="Calibri"/>
                <w:b/>
              </w:rPr>
              <w:t xml:space="preserve">Relocation: </w:t>
            </w:r>
            <w:r>
              <w:rPr>
                <w:rFonts w:ascii="Calibri" w:hAnsi="Calibri"/>
              </w:rPr>
              <w:t>Moving an operation, employee, asset, customer activity, or responsibility from one SMSA location or operating arrangement to another.</w:t>
            </w:r>
          </w:p>
          <w:p w14:paraId="6EB1A047" w14:textId="77777777" w:rsidR="00AF0F4A" w:rsidRDefault="00000000">
            <w:pPr>
              <w:spacing w:after="100"/>
              <w:jc w:val="both"/>
            </w:pPr>
            <w:r>
              <w:rPr>
                <w:rFonts w:ascii="Calibri" w:hAnsi="Calibri"/>
                <w:b/>
              </w:rPr>
              <w:t xml:space="preserve">Last Operating Date: </w:t>
            </w:r>
            <w:r>
              <w:rPr>
                <w:rFonts w:ascii="Calibri" w:hAnsi="Calibri"/>
              </w:rPr>
              <w:t>The planned or actual date on which normal operations stop at the location, project, or operating arrangement.</w:t>
            </w:r>
          </w:p>
          <w:p w14:paraId="2F5EC7AB" w14:textId="77777777" w:rsidR="00AF0F4A" w:rsidRDefault="00000000">
            <w:pPr>
              <w:spacing w:after="100"/>
              <w:jc w:val="both"/>
            </w:pPr>
            <w:r>
              <w:rPr>
                <w:rFonts w:ascii="Calibri" w:hAnsi="Calibri"/>
                <w:b/>
              </w:rPr>
              <w:t xml:space="preserve">Physical / Site Handover: </w:t>
            </w:r>
            <w:r>
              <w:rPr>
                <w:rFonts w:ascii="Calibri" w:hAnsi="Calibri"/>
              </w:rPr>
              <w:t>The point at which a site, facility, or physical area is formally handed to the landlord, owner, receiving location, or other approved party. This does not by itself mean final demobilization closure is complete.</w:t>
            </w:r>
          </w:p>
          <w:p w14:paraId="621EB8F8" w14:textId="77777777" w:rsidR="00AF0F4A" w:rsidRDefault="00000000">
            <w:pPr>
              <w:spacing w:after="100"/>
              <w:jc w:val="both"/>
            </w:pPr>
            <w:r>
              <w:rPr>
                <w:rFonts w:ascii="Calibri" w:hAnsi="Calibri"/>
                <w:b/>
              </w:rPr>
              <w:t xml:space="preserve">Final Closure: </w:t>
            </w:r>
            <w:r>
              <w:rPr>
                <w:rFonts w:ascii="Calibri" w:hAnsi="Calibri"/>
              </w:rPr>
              <w:t>The point at which all required clearances and approvals are complete and any permitted outstanding matters have a named owner, action, target date, and accepted risk position.</w:t>
            </w:r>
          </w:p>
          <w:p w14:paraId="4FAAF7BB" w14:textId="77777777" w:rsidR="00AF0F4A" w:rsidRDefault="00000000">
            <w:pPr>
              <w:spacing w:after="100"/>
              <w:jc w:val="both"/>
            </w:pPr>
            <w:r>
              <w:rPr>
                <w:rFonts w:ascii="Calibri" w:hAnsi="Calibri"/>
                <w:b/>
              </w:rPr>
              <w:t xml:space="preserve">Business / Project Owner: </w:t>
            </w:r>
            <w:r>
              <w:rPr>
                <w:rFonts w:ascii="Calibri" w:hAnsi="Calibri"/>
              </w:rPr>
              <w:t>The manager accountable for the operation, site, contract, or project being demobilized.</w:t>
            </w:r>
          </w:p>
          <w:p w14:paraId="6CEEA184" w14:textId="77777777" w:rsidR="00AF0F4A" w:rsidRDefault="00000000">
            <w:pPr>
              <w:spacing w:after="100"/>
              <w:jc w:val="both"/>
            </w:pPr>
            <w:r>
              <w:rPr>
                <w:rFonts w:ascii="Calibri" w:hAnsi="Calibri"/>
                <w:b/>
              </w:rPr>
              <w:lastRenderedPageBreak/>
              <w:t xml:space="preserve">Contract Owner: </w:t>
            </w:r>
            <w:r>
              <w:rPr>
                <w:rFonts w:ascii="Calibri" w:hAnsi="Calibri"/>
              </w:rPr>
              <w:t>The SMSA department or manager that owns a commercial, operational, facility, manpower, IT, lease, or other contract and is responsible for making sure its obligations are closed or transferred.</w:t>
            </w:r>
          </w:p>
          <w:p w14:paraId="19B723F7" w14:textId="38819142" w:rsidR="00AF0F4A" w:rsidRDefault="00000000">
            <w:pPr>
              <w:spacing w:after="100"/>
              <w:jc w:val="both"/>
            </w:pPr>
            <w:r>
              <w:rPr>
                <w:rFonts w:ascii="Calibri" w:hAnsi="Calibri"/>
                <w:b/>
              </w:rPr>
              <w:t xml:space="preserve">Demobilization Lead: </w:t>
            </w:r>
            <w:r>
              <w:rPr>
                <w:rFonts w:ascii="Calibri" w:hAnsi="Calibri"/>
              </w:rPr>
              <w:t>The person appointed to coordinate the demobilization and maintain the plan or checklist, actions, evidence, clearances, and sign</w:t>
            </w:r>
            <w:r w:rsidR="006A617A">
              <w:rPr>
                <w:rFonts w:ascii="Calibri" w:hAnsi="Calibri"/>
              </w:rPr>
              <w:t xml:space="preserve"> </w:t>
            </w:r>
            <w:r>
              <w:rPr>
                <w:rFonts w:ascii="Calibri" w:hAnsi="Calibri"/>
              </w:rPr>
              <w:t>off.</w:t>
            </w:r>
          </w:p>
          <w:p w14:paraId="21EB7A7F" w14:textId="77777777" w:rsidR="00AF0F4A" w:rsidRDefault="00000000">
            <w:pPr>
              <w:spacing w:after="100"/>
              <w:jc w:val="both"/>
            </w:pPr>
            <w:r>
              <w:rPr>
                <w:rFonts w:ascii="Calibri" w:hAnsi="Calibri"/>
                <w:b/>
              </w:rPr>
              <w:t xml:space="preserve">Receiving Location: </w:t>
            </w:r>
            <w:r>
              <w:rPr>
                <w:rFonts w:ascii="Calibri" w:hAnsi="Calibri"/>
              </w:rPr>
              <w:t>The SMSA location, project, department, or approved third party that accepts transferred work, people, assets, inventory, or responsibilities.</w:t>
            </w:r>
          </w:p>
          <w:p w14:paraId="61C723B7" w14:textId="06E2EA00" w:rsidR="00AF0F4A" w:rsidRDefault="00000000">
            <w:pPr>
              <w:spacing w:after="100"/>
              <w:jc w:val="both"/>
            </w:pPr>
            <w:r>
              <w:rPr>
                <w:rFonts w:ascii="Calibri" w:hAnsi="Calibri"/>
                <w:b/>
              </w:rPr>
              <w:t xml:space="preserve">SMSA Asset: </w:t>
            </w:r>
            <w:r>
              <w:rPr>
                <w:rFonts w:ascii="Calibri" w:hAnsi="Calibri"/>
              </w:rPr>
              <w:t>SMSA</w:t>
            </w:r>
            <w:r w:rsidR="006A617A">
              <w:rPr>
                <w:rFonts w:ascii="Calibri" w:hAnsi="Calibri"/>
              </w:rPr>
              <w:t xml:space="preserve"> </w:t>
            </w:r>
            <w:r>
              <w:rPr>
                <w:rFonts w:ascii="Calibri" w:hAnsi="Calibri"/>
              </w:rPr>
              <w:t>owned equipment or property recorded or controlled through the SMSA asset/inventory process.</w:t>
            </w:r>
          </w:p>
          <w:p w14:paraId="2FB20B8F" w14:textId="5428F2CA" w:rsidR="00AF0F4A" w:rsidRDefault="00000000">
            <w:pPr>
              <w:spacing w:after="100"/>
              <w:jc w:val="both"/>
            </w:pPr>
            <w:r>
              <w:rPr>
                <w:rFonts w:ascii="Calibri" w:hAnsi="Calibri"/>
                <w:b/>
              </w:rPr>
              <w:t>Third</w:t>
            </w:r>
            <w:r w:rsidR="006A617A">
              <w:rPr>
                <w:rFonts w:ascii="Calibri" w:hAnsi="Calibri"/>
                <w:b/>
              </w:rPr>
              <w:t xml:space="preserve"> </w:t>
            </w:r>
            <w:r>
              <w:rPr>
                <w:rFonts w:ascii="Calibri" w:hAnsi="Calibri"/>
                <w:b/>
              </w:rPr>
              <w:t xml:space="preserve">Party Manpower: </w:t>
            </w:r>
            <w:r>
              <w:rPr>
                <w:rFonts w:ascii="Calibri" w:hAnsi="Calibri"/>
              </w:rPr>
              <w:t>Workers supplied by an outsource company, manpower provider, contractor, or other third party.</w:t>
            </w:r>
          </w:p>
          <w:p w14:paraId="5C722BE3" w14:textId="77777777" w:rsidR="00AF0F4A" w:rsidRDefault="00000000">
            <w:pPr>
              <w:spacing w:after="100"/>
              <w:jc w:val="both"/>
            </w:pPr>
            <w:r>
              <w:rPr>
                <w:rFonts w:ascii="Calibri" w:hAnsi="Calibri"/>
                <w:b/>
              </w:rPr>
              <w:t xml:space="preserve">Outstanding Obligation: </w:t>
            </w:r>
            <w:r>
              <w:rPr>
                <w:rFonts w:ascii="Calibri" w:hAnsi="Calibri"/>
              </w:rPr>
              <w:t>Any unresolved financial, contractual, legal, operational, customer, employee, asset, system, incident, investigation, or risk matter that continues after normal operations stop.</w:t>
            </w:r>
          </w:p>
          <w:p w14:paraId="230A937C" w14:textId="77777777" w:rsidR="00AF0F4A" w:rsidRDefault="00000000">
            <w:pPr>
              <w:spacing w:after="100"/>
              <w:jc w:val="both"/>
            </w:pPr>
            <w:r>
              <w:rPr>
                <w:rFonts w:ascii="Calibri" w:hAnsi="Calibri"/>
                <w:b/>
              </w:rPr>
              <w:t xml:space="preserve">Evidence: </w:t>
            </w:r>
            <w:r>
              <w:rPr>
                <w:rFonts w:ascii="Calibri" w:hAnsi="Calibri"/>
              </w:rPr>
              <w:t>A record that shows an action was completed, such as an approval, system record, signed form, invoice, asset record, photograph, email, ticket, access log, scan record, or handover record.</w:t>
            </w:r>
          </w:p>
        </w:tc>
      </w:tr>
      <w:tr w:rsidR="003050B7" w:rsidRPr="002928E9" w14:paraId="38F1AD6C" w14:textId="77777777" w:rsidTr="00980C86">
        <w:tc>
          <w:tcPr>
            <w:tcW w:w="1980" w:type="dxa"/>
          </w:tcPr>
          <w:p w14:paraId="1C2FF4C1" w14:textId="77777777" w:rsidR="00AF0F4A" w:rsidRDefault="00000000">
            <w:pPr>
              <w:spacing w:after="0"/>
            </w:pPr>
            <w:r>
              <w:rPr>
                <w:rFonts w:ascii="Calibri" w:hAnsi="Calibri" w:cs="Calibri"/>
                <w:b/>
              </w:rPr>
              <w:lastRenderedPageBreak/>
              <w:t>Guidelines</w:t>
            </w:r>
          </w:p>
        </w:tc>
        <w:tc>
          <w:tcPr>
            <w:tcW w:w="8640" w:type="dxa"/>
          </w:tcPr>
          <w:p w14:paraId="76CD5A24" w14:textId="77777777" w:rsidR="00AF0F4A" w:rsidRDefault="00000000">
            <w:pPr>
              <w:keepNext/>
              <w:spacing w:before="120" w:after="80"/>
              <w:jc w:val="both"/>
            </w:pPr>
            <w:r>
              <w:rPr>
                <w:rFonts w:ascii="Calibri" w:hAnsi="Calibri"/>
                <w:b/>
              </w:rPr>
              <w:t>1. Policy Statement</w:t>
            </w:r>
          </w:p>
          <w:p w14:paraId="3F08029A" w14:textId="77777777" w:rsidR="00AF0F4A" w:rsidRDefault="00000000">
            <w:pPr>
              <w:spacing w:after="120"/>
              <w:jc w:val="both"/>
            </w:pPr>
            <w:r>
              <w:rPr>
                <w:rFonts w:ascii="Calibri" w:hAnsi="Calibri"/>
              </w:rPr>
              <w:t>Every demobilization must follow the same basic control flow:</w:t>
            </w:r>
          </w:p>
          <w:p w14:paraId="69CD15DC" w14:textId="27BA9DB5" w:rsidR="006A617A" w:rsidRPr="006A617A" w:rsidRDefault="00000000" w:rsidP="006A617A">
            <w:pPr>
              <w:pStyle w:val="ListParagraph"/>
              <w:numPr>
                <w:ilvl w:val="0"/>
                <w:numId w:val="26"/>
              </w:numPr>
              <w:spacing w:after="120"/>
              <w:rPr>
                <w:rFonts w:ascii="Calibri" w:hAnsi="Calibri"/>
              </w:rPr>
            </w:pPr>
            <w:r w:rsidRPr="006A617A">
              <w:rPr>
                <w:rFonts w:ascii="Calibri" w:hAnsi="Calibri"/>
              </w:rPr>
              <w:t>Decision / Trigger</w:t>
            </w:r>
          </w:p>
          <w:p w14:paraId="3B4B1E14" w14:textId="77777777" w:rsidR="006A617A" w:rsidRPr="006A617A" w:rsidRDefault="00000000" w:rsidP="006A617A">
            <w:pPr>
              <w:pStyle w:val="ListParagraph"/>
              <w:numPr>
                <w:ilvl w:val="0"/>
                <w:numId w:val="26"/>
              </w:numPr>
              <w:spacing w:after="120"/>
              <w:rPr>
                <w:rFonts w:ascii="Calibri" w:hAnsi="Calibri"/>
              </w:rPr>
            </w:pPr>
            <w:r w:rsidRPr="006A617A">
              <w:rPr>
                <w:rFonts w:ascii="Calibri" w:hAnsi="Calibri"/>
              </w:rPr>
              <w:t>Initial Risk Review</w:t>
            </w:r>
          </w:p>
          <w:p w14:paraId="5B1D83C9" w14:textId="77777777" w:rsidR="006A617A" w:rsidRPr="006A617A" w:rsidRDefault="00000000" w:rsidP="006A617A">
            <w:pPr>
              <w:pStyle w:val="ListParagraph"/>
              <w:numPr>
                <w:ilvl w:val="0"/>
                <w:numId w:val="26"/>
              </w:numPr>
              <w:spacing w:after="120"/>
              <w:rPr>
                <w:rFonts w:ascii="Calibri" w:hAnsi="Calibri"/>
              </w:rPr>
            </w:pPr>
            <w:r w:rsidRPr="006A617A">
              <w:rPr>
                <w:rFonts w:ascii="Calibri" w:hAnsi="Calibri"/>
              </w:rPr>
              <w:t xml:space="preserve">Plan </w:t>
            </w:r>
            <w:r w:rsidR="006A617A" w:rsidRPr="006A617A">
              <w:rPr>
                <w:rFonts w:ascii="Calibri" w:hAnsi="Calibri"/>
              </w:rPr>
              <w:t>/</w:t>
            </w:r>
            <w:r w:rsidRPr="006A617A">
              <w:rPr>
                <w:rFonts w:ascii="Calibri" w:hAnsi="Calibri"/>
              </w:rPr>
              <w:t>Checklist</w:t>
            </w:r>
          </w:p>
          <w:p w14:paraId="015023B2" w14:textId="77777777" w:rsidR="006A617A" w:rsidRPr="006A617A" w:rsidRDefault="00000000" w:rsidP="006A617A">
            <w:pPr>
              <w:pStyle w:val="ListParagraph"/>
              <w:numPr>
                <w:ilvl w:val="0"/>
                <w:numId w:val="26"/>
              </w:numPr>
              <w:spacing w:after="120"/>
              <w:rPr>
                <w:rFonts w:ascii="Calibri" w:hAnsi="Calibri"/>
              </w:rPr>
            </w:pPr>
            <w:r w:rsidRPr="006A617A">
              <w:rPr>
                <w:rFonts w:ascii="Calibri" w:hAnsi="Calibri"/>
              </w:rPr>
              <w:t>Required Approval</w:t>
            </w:r>
          </w:p>
          <w:p w14:paraId="48EDFF8B" w14:textId="77777777" w:rsidR="006A617A" w:rsidRPr="006A617A" w:rsidRDefault="00000000" w:rsidP="006A617A">
            <w:pPr>
              <w:pStyle w:val="ListParagraph"/>
              <w:numPr>
                <w:ilvl w:val="0"/>
                <w:numId w:val="26"/>
              </w:numPr>
              <w:spacing w:after="120"/>
              <w:rPr>
                <w:rFonts w:ascii="Calibri" w:hAnsi="Calibri"/>
              </w:rPr>
            </w:pPr>
            <w:r w:rsidRPr="006A617A">
              <w:rPr>
                <w:rFonts w:ascii="Calibri" w:hAnsi="Calibri"/>
              </w:rPr>
              <w:t>Execution</w:t>
            </w:r>
          </w:p>
          <w:p w14:paraId="05035358" w14:textId="77777777" w:rsidR="006A617A" w:rsidRPr="006A617A" w:rsidRDefault="00000000" w:rsidP="006A617A">
            <w:pPr>
              <w:pStyle w:val="ListParagraph"/>
              <w:numPr>
                <w:ilvl w:val="0"/>
                <w:numId w:val="26"/>
              </w:numPr>
              <w:spacing w:after="120"/>
              <w:rPr>
                <w:rFonts w:ascii="Calibri" w:hAnsi="Calibri"/>
              </w:rPr>
            </w:pPr>
            <w:r w:rsidRPr="006A617A">
              <w:rPr>
                <w:rFonts w:ascii="Calibri" w:hAnsi="Calibri"/>
              </w:rPr>
              <w:t>Verification</w:t>
            </w:r>
          </w:p>
          <w:p w14:paraId="1D17739A" w14:textId="77777777" w:rsidR="006A617A" w:rsidRPr="006A617A" w:rsidRDefault="00000000" w:rsidP="006A617A">
            <w:pPr>
              <w:pStyle w:val="ListParagraph"/>
              <w:numPr>
                <w:ilvl w:val="0"/>
                <w:numId w:val="26"/>
              </w:numPr>
              <w:spacing w:after="120"/>
              <w:rPr>
                <w:rFonts w:ascii="Calibri" w:hAnsi="Calibri"/>
              </w:rPr>
            </w:pPr>
            <w:r w:rsidRPr="006A617A">
              <w:rPr>
                <w:rFonts w:ascii="Calibri" w:hAnsi="Calibri"/>
              </w:rPr>
              <w:t>Final Sign</w:t>
            </w:r>
            <w:r w:rsidR="006A617A" w:rsidRPr="006A617A">
              <w:rPr>
                <w:rFonts w:ascii="Calibri" w:hAnsi="Calibri"/>
              </w:rPr>
              <w:t xml:space="preserve"> </w:t>
            </w:r>
            <w:r w:rsidRPr="006A617A">
              <w:rPr>
                <w:rFonts w:ascii="Calibri" w:hAnsi="Calibri"/>
              </w:rPr>
              <w:t xml:space="preserve">off </w:t>
            </w:r>
          </w:p>
          <w:p w14:paraId="31589A99" w14:textId="7F8143EA" w:rsidR="00AF0F4A" w:rsidRPr="006A617A" w:rsidRDefault="00000000" w:rsidP="006A617A">
            <w:pPr>
              <w:pStyle w:val="ListParagraph"/>
              <w:numPr>
                <w:ilvl w:val="0"/>
                <w:numId w:val="26"/>
              </w:numPr>
              <w:spacing w:after="120"/>
              <w:rPr>
                <w:bCs/>
              </w:rPr>
            </w:pPr>
            <w:r w:rsidRPr="006A617A">
              <w:rPr>
                <w:rFonts w:ascii="Calibri" w:hAnsi="Calibri"/>
              </w:rPr>
              <w:t>Risk and Record Closure</w:t>
            </w:r>
          </w:p>
          <w:p w14:paraId="2F2FB274" w14:textId="77777777" w:rsidR="00AF0F4A" w:rsidRDefault="00000000">
            <w:pPr>
              <w:pStyle w:val="ListParagraph"/>
              <w:numPr>
                <w:ilvl w:val="0"/>
                <w:numId w:val="2"/>
              </w:numPr>
              <w:spacing w:after="40"/>
              <w:jc w:val="both"/>
            </w:pPr>
            <w:r>
              <w:rPr>
                <w:rFonts w:ascii="Calibri" w:hAnsi="Calibri"/>
              </w:rPr>
              <w:t>No major operation may be closed or relocated outside this process.</w:t>
            </w:r>
          </w:p>
          <w:p w14:paraId="53DDE1EF" w14:textId="77777777" w:rsidR="00AF0F4A" w:rsidRDefault="00000000">
            <w:pPr>
              <w:pStyle w:val="ListParagraph"/>
              <w:numPr>
                <w:ilvl w:val="0"/>
                <w:numId w:val="2"/>
              </w:numPr>
              <w:spacing w:after="40"/>
              <w:jc w:val="both"/>
            </w:pPr>
            <w:r>
              <w:rPr>
                <w:rFonts w:ascii="Calibri" w:hAnsi="Calibri"/>
              </w:rPr>
              <w:t>No employee may be left without a documented work status or receiving owner.</w:t>
            </w:r>
          </w:p>
          <w:p w14:paraId="023166D8" w14:textId="77777777" w:rsidR="00AF0F4A" w:rsidRDefault="00000000">
            <w:pPr>
              <w:pStyle w:val="ListParagraph"/>
              <w:numPr>
                <w:ilvl w:val="0"/>
                <w:numId w:val="2"/>
              </w:numPr>
              <w:spacing w:after="40"/>
              <w:jc w:val="both"/>
            </w:pPr>
            <w:r>
              <w:rPr>
                <w:rFonts w:ascii="Calibri" w:hAnsi="Calibri"/>
              </w:rPr>
              <w:t>No SMSA asset may be moved, returned, auctioned, disposed of, or handed to another party without the required Inventory control, approval, and supporting record.</w:t>
            </w:r>
          </w:p>
          <w:p w14:paraId="3C4317DA" w14:textId="77777777" w:rsidR="00AF0F4A" w:rsidRDefault="00000000">
            <w:pPr>
              <w:pStyle w:val="ListParagraph"/>
              <w:numPr>
                <w:ilvl w:val="0"/>
                <w:numId w:val="2"/>
              </w:numPr>
              <w:spacing w:after="40"/>
              <w:jc w:val="both"/>
            </w:pPr>
            <w:r>
              <w:rPr>
                <w:rFonts w:ascii="Calibri" w:hAnsi="Calibri"/>
              </w:rPr>
              <w:t>Stopping use of a supplier or leaving a site does not by itself cancel a contract.</w:t>
            </w:r>
          </w:p>
          <w:p w14:paraId="74F6E68D" w14:textId="0191BB9A" w:rsidR="00AF0F4A" w:rsidRDefault="00000000">
            <w:pPr>
              <w:pStyle w:val="ListParagraph"/>
              <w:numPr>
                <w:ilvl w:val="0"/>
                <w:numId w:val="2"/>
              </w:numPr>
              <w:spacing w:after="40"/>
              <w:jc w:val="both"/>
            </w:pPr>
            <w:r>
              <w:rPr>
                <w:rFonts w:ascii="Calibri" w:hAnsi="Calibri"/>
              </w:rPr>
              <w:t xml:space="preserve">A location is not finally closed while customer property, </w:t>
            </w:r>
            <w:r w:rsidR="006A617A">
              <w:rPr>
                <w:rFonts w:ascii="Calibri" w:hAnsi="Calibri"/>
              </w:rPr>
              <w:t>significant</w:t>
            </w:r>
            <w:r>
              <w:rPr>
                <w:rFonts w:ascii="Calibri" w:hAnsi="Calibri"/>
              </w:rPr>
              <w:t xml:space="preserve"> assets, cash/COD, active access, </w:t>
            </w:r>
            <w:r w:rsidR="006A617A">
              <w:rPr>
                <w:rFonts w:ascii="Calibri" w:hAnsi="Calibri"/>
              </w:rPr>
              <w:t>significant</w:t>
            </w:r>
            <w:r>
              <w:rPr>
                <w:rFonts w:ascii="Calibri" w:hAnsi="Calibri"/>
              </w:rPr>
              <w:t xml:space="preserve"> obligations, or unacceptable risks remain without an approved owner and action.</w:t>
            </w:r>
          </w:p>
          <w:p w14:paraId="3EF7B6B2" w14:textId="2A10DE49" w:rsidR="00AF0F4A" w:rsidRDefault="00000000">
            <w:pPr>
              <w:pStyle w:val="ListParagraph"/>
              <w:numPr>
                <w:ilvl w:val="0"/>
                <w:numId w:val="2"/>
              </w:numPr>
              <w:spacing w:after="40"/>
              <w:jc w:val="both"/>
            </w:pPr>
            <w:r>
              <w:rPr>
                <w:rFonts w:ascii="Calibri" w:hAnsi="Calibri"/>
              </w:rPr>
              <w:t>Segregation of duties must be maintained for auction, disposal, write</w:t>
            </w:r>
            <w:r w:rsidR="006A617A">
              <w:rPr>
                <w:rFonts w:ascii="Calibri" w:hAnsi="Calibri"/>
              </w:rPr>
              <w:t xml:space="preserve"> </w:t>
            </w:r>
            <w:r>
              <w:rPr>
                <w:rFonts w:ascii="Calibri" w:hAnsi="Calibri"/>
              </w:rPr>
              <w:t>off, waiver, settlement, and other financial actions where required.</w:t>
            </w:r>
          </w:p>
          <w:p w14:paraId="40288DBA" w14:textId="77777777" w:rsidR="00AF0F4A" w:rsidRDefault="00000000">
            <w:pPr>
              <w:pStyle w:val="ListParagraph"/>
              <w:numPr>
                <w:ilvl w:val="0"/>
                <w:numId w:val="2"/>
              </w:numPr>
              <w:spacing w:after="40"/>
              <w:jc w:val="both"/>
            </w:pPr>
            <w:r>
              <w:rPr>
                <w:rFonts w:ascii="Calibri" w:hAnsi="Calibri"/>
              </w:rPr>
              <w:t>Facility keys and access must be controlled in accordance with the current Access Control Policy.</w:t>
            </w:r>
          </w:p>
          <w:p w14:paraId="6ED1E1D9" w14:textId="77777777" w:rsidR="00AF0F4A" w:rsidRDefault="00000000">
            <w:pPr>
              <w:keepNext/>
              <w:spacing w:before="120" w:after="80"/>
              <w:jc w:val="both"/>
            </w:pPr>
            <w:r>
              <w:rPr>
                <w:rFonts w:ascii="Calibri" w:hAnsi="Calibri"/>
                <w:b/>
              </w:rPr>
              <w:t>2. Starting the Demobilization</w:t>
            </w:r>
          </w:p>
          <w:p w14:paraId="04D23467" w14:textId="77777777" w:rsidR="00AF0F4A" w:rsidRDefault="00000000">
            <w:pPr>
              <w:spacing w:after="120"/>
              <w:jc w:val="both"/>
            </w:pPr>
            <w:r>
              <w:rPr>
                <w:rFonts w:ascii="Calibri" w:hAnsi="Calibri"/>
              </w:rPr>
              <w:t xml:space="preserve">As soon as management knows that an operation may close, move, reduce, transfer, or end, the Business / Project Owner must start the demobilization process. Waiting until the last </w:t>
            </w:r>
            <w:r>
              <w:rPr>
                <w:rFonts w:ascii="Calibri" w:hAnsi="Calibri"/>
              </w:rPr>
              <w:lastRenderedPageBreak/>
              <w:t>operating day is not acceptable.</w:t>
            </w:r>
          </w:p>
          <w:p w14:paraId="0F30FC8F" w14:textId="77777777" w:rsidR="00AF0F4A" w:rsidRDefault="00000000">
            <w:pPr>
              <w:pStyle w:val="ListParagraph"/>
              <w:numPr>
                <w:ilvl w:val="0"/>
                <w:numId w:val="2"/>
              </w:numPr>
              <w:spacing w:after="40"/>
              <w:jc w:val="both"/>
            </w:pPr>
            <w:r>
              <w:rPr>
                <w:rFonts w:ascii="Calibri" w:hAnsi="Calibri"/>
              </w:rPr>
              <w:t>Name the Business / Project Owner and Demobilization Lead.</w:t>
            </w:r>
          </w:p>
          <w:p w14:paraId="6555A2B5" w14:textId="77777777" w:rsidR="00AF0F4A" w:rsidRPr="006A617A" w:rsidRDefault="00000000">
            <w:pPr>
              <w:pStyle w:val="ListParagraph"/>
              <w:numPr>
                <w:ilvl w:val="0"/>
                <w:numId w:val="2"/>
              </w:numPr>
              <w:spacing w:after="40"/>
              <w:jc w:val="both"/>
            </w:pPr>
            <w:r>
              <w:rPr>
                <w:rFonts w:ascii="Calibri" w:hAnsi="Calibri"/>
              </w:rPr>
              <w:t>Record the reason for the change and whether the full or simplified route will be used.</w:t>
            </w:r>
          </w:p>
          <w:p w14:paraId="4BFAEAC2" w14:textId="1C7130BB" w:rsidR="006A617A" w:rsidRDefault="006A617A">
            <w:pPr>
              <w:pStyle w:val="ListParagraph"/>
              <w:numPr>
                <w:ilvl w:val="0"/>
                <w:numId w:val="2"/>
              </w:numPr>
              <w:spacing w:after="40"/>
              <w:jc w:val="both"/>
            </w:pPr>
            <w:r>
              <w:t>Complete the MOC form as per the Management of change policy</w:t>
            </w:r>
          </w:p>
          <w:p w14:paraId="214FF2C4" w14:textId="77777777" w:rsidR="00AF0F4A" w:rsidRDefault="00000000">
            <w:pPr>
              <w:pStyle w:val="ListParagraph"/>
              <w:numPr>
                <w:ilvl w:val="0"/>
                <w:numId w:val="2"/>
              </w:numPr>
              <w:spacing w:after="40"/>
              <w:jc w:val="both"/>
            </w:pPr>
            <w:r>
              <w:rPr>
                <w:rFonts w:ascii="Calibri" w:hAnsi="Calibri"/>
              </w:rPr>
              <w:t>Set the planned Last Operating Date, Physical / Site Handover date where applicable, and target Final Closure date.</w:t>
            </w:r>
          </w:p>
          <w:p w14:paraId="13210A18" w14:textId="77777777" w:rsidR="00AF0F4A" w:rsidRDefault="00000000">
            <w:pPr>
              <w:pStyle w:val="ListParagraph"/>
              <w:numPr>
                <w:ilvl w:val="0"/>
                <w:numId w:val="2"/>
              </w:numPr>
              <w:spacing w:after="40"/>
              <w:jc w:val="both"/>
            </w:pPr>
            <w:r>
              <w:rPr>
                <w:rFonts w:ascii="Calibri" w:hAnsi="Calibri"/>
              </w:rPr>
              <w:t>Identify the receiving location or replacement operating arrangement, if any.</w:t>
            </w:r>
          </w:p>
          <w:p w14:paraId="758CF9BB" w14:textId="77777777" w:rsidR="00AF0F4A" w:rsidRDefault="00000000">
            <w:pPr>
              <w:pStyle w:val="ListParagraph"/>
              <w:numPr>
                <w:ilvl w:val="0"/>
                <w:numId w:val="2"/>
              </w:numPr>
              <w:spacing w:after="40"/>
              <w:jc w:val="both"/>
            </w:pPr>
            <w:r>
              <w:rPr>
                <w:rFonts w:ascii="Calibri" w:hAnsi="Calibri"/>
              </w:rPr>
              <w:t>Identify the functions that must participate and provide final clearance. Record these in the plan or checklist at the start and update them if the scope changes.</w:t>
            </w:r>
          </w:p>
          <w:p w14:paraId="3C5571EC" w14:textId="77777777" w:rsidR="00AF0F4A" w:rsidRDefault="00000000">
            <w:pPr>
              <w:pStyle w:val="ListParagraph"/>
              <w:numPr>
                <w:ilvl w:val="0"/>
                <w:numId w:val="2"/>
              </w:numPr>
              <w:spacing w:after="40"/>
              <w:jc w:val="both"/>
            </w:pPr>
            <w:r>
              <w:rPr>
                <w:rFonts w:ascii="Calibri" w:hAnsi="Calibri"/>
              </w:rPr>
              <w:t>Start the initial risk review and action tracker.</w:t>
            </w:r>
          </w:p>
          <w:p w14:paraId="35002F4B" w14:textId="77777777" w:rsidR="00AF0F4A" w:rsidRDefault="00000000">
            <w:pPr>
              <w:keepNext/>
              <w:spacing w:before="120" w:after="80"/>
              <w:jc w:val="both"/>
            </w:pPr>
            <w:r>
              <w:rPr>
                <w:rFonts w:ascii="Calibri" w:hAnsi="Calibri"/>
                <w:b/>
              </w:rPr>
              <w:t>3. Exit Risk Must Be Considered When a New Major Project Starts</w:t>
            </w:r>
          </w:p>
          <w:p w14:paraId="632331CD" w14:textId="13645EB3" w:rsidR="00AF0F4A" w:rsidRDefault="00000000">
            <w:pPr>
              <w:spacing w:after="120"/>
              <w:jc w:val="both"/>
            </w:pPr>
            <w:r>
              <w:rPr>
                <w:rFonts w:ascii="Calibri" w:hAnsi="Calibri"/>
              </w:rPr>
              <w:t>Demobilization should be considered when a new major project or operating arrangement is approved, not only when it ends. The Business / Project Owner must consider foreseeable exit obligations as part of the business case, contracting, and go</w:t>
            </w:r>
            <w:r w:rsidR="006A617A">
              <w:rPr>
                <w:rFonts w:ascii="Calibri" w:hAnsi="Calibri"/>
              </w:rPr>
              <w:t xml:space="preserve"> </w:t>
            </w:r>
            <w:r>
              <w:rPr>
                <w:rFonts w:ascii="Calibri" w:hAnsi="Calibri"/>
              </w:rPr>
              <w:t>live process.</w:t>
            </w:r>
          </w:p>
          <w:p w14:paraId="583A7258" w14:textId="77777777" w:rsidR="00AF0F4A" w:rsidRDefault="00000000">
            <w:pPr>
              <w:pStyle w:val="ListParagraph"/>
              <w:numPr>
                <w:ilvl w:val="0"/>
                <w:numId w:val="2"/>
              </w:numPr>
              <w:spacing w:after="40"/>
              <w:jc w:val="both"/>
            </w:pPr>
            <w:r>
              <w:rPr>
                <w:rFonts w:ascii="Calibri" w:hAnsi="Calibri"/>
              </w:rPr>
              <w:t>The likely outcome for SMSA employees and outsourced manpower, including contractual notice or reduction requirements.</w:t>
            </w:r>
          </w:p>
          <w:p w14:paraId="554170E2" w14:textId="09DAA710" w:rsidR="00AF0F4A" w:rsidRDefault="00000000">
            <w:pPr>
              <w:pStyle w:val="ListParagraph"/>
              <w:numPr>
                <w:ilvl w:val="0"/>
                <w:numId w:val="2"/>
              </w:numPr>
              <w:spacing w:after="40"/>
              <w:jc w:val="both"/>
            </w:pPr>
            <w:r>
              <w:rPr>
                <w:rFonts w:ascii="Calibri" w:hAnsi="Calibri"/>
              </w:rPr>
              <w:t>Ownership and end</w:t>
            </w:r>
            <w:r w:rsidR="006A617A">
              <w:rPr>
                <w:rFonts w:ascii="Calibri" w:hAnsi="Calibri"/>
              </w:rPr>
              <w:t xml:space="preserve"> </w:t>
            </w:r>
            <w:r>
              <w:rPr>
                <w:rFonts w:ascii="Calibri" w:hAnsi="Calibri"/>
              </w:rPr>
              <w:t>of</w:t>
            </w:r>
            <w:r w:rsidR="006A617A">
              <w:rPr>
                <w:rFonts w:ascii="Calibri" w:hAnsi="Calibri"/>
              </w:rPr>
              <w:t xml:space="preserve"> </w:t>
            </w:r>
            <w:r>
              <w:rPr>
                <w:rFonts w:ascii="Calibri" w:hAnsi="Calibri"/>
              </w:rPr>
              <w:t>project treatment of SMSA</w:t>
            </w:r>
            <w:r w:rsidR="006A617A">
              <w:rPr>
                <w:rFonts w:ascii="Calibri" w:hAnsi="Calibri"/>
              </w:rPr>
              <w:t xml:space="preserve"> </w:t>
            </w:r>
            <w:r>
              <w:rPr>
                <w:rFonts w:ascii="Calibri" w:hAnsi="Calibri"/>
              </w:rPr>
              <w:t>owned, customer</w:t>
            </w:r>
            <w:r w:rsidR="006A617A">
              <w:rPr>
                <w:rFonts w:ascii="Calibri" w:hAnsi="Calibri"/>
              </w:rPr>
              <w:t xml:space="preserve"> </w:t>
            </w:r>
            <w:r>
              <w:rPr>
                <w:rFonts w:ascii="Calibri" w:hAnsi="Calibri"/>
              </w:rPr>
              <w:t>owned, supplier</w:t>
            </w:r>
            <w:r w:rsidR="006A617A">
              <w:rPr>
                <w:rFonts w:ascii="Calibri" w:hAnsi="Calibri"/>
              </w:rPr>
              <w:t xml:space="preserve"> </w:t>
            </w:r>
            <w:r>
              <w:rPr>
                <w:rFonts w:ascii="Calibri" w:hAnsi="Calibri"/>
              </w:rPr>
              <w:t>owned, rented, leased, or borrowed equipment.</w:t>
            </w:r>
          </w:p>
          <w:p w14:paraId="4A9482EA" w14:textId="77777777" w:rsidR="00AF0F4A" w:rsidRDefault="00000000">
            <w:pPr>
              <w:pStyle w:val="ListParagraph"/>
              <w:numPr>
                <w:ilvl w:val="0"/>
                <w:numId w:val="2"/>
              </w:numPr>
              <w:spacing w:after="40"/>
              <w:jc w:val="both"/>
            </w:pPr>
            <w:r>
              <w:rPr>
                <w:rFonts w:ascii="Calibri" w:hAnsi="Calibri"/>
              </w:rPr>
              <w:t>Customer, vendor, manpower, facility, lease, technology, and other contracts, including notice periods, deposits, guarantees, and continuing obligations.</w:t>
            </w:r>
          </w:p>
          <w:p w14:paraId="3E6F2BAA" w14:textId="77777777" w:rsidR="00AF0F4A" w:rsidRDefault="00000000">
            <w:pPr>
              <w:pStyle w:val="ListParagraph"/>
              <w:numPr>
                <w:ilvl w:val="0"/>
                <w:numId w:val="2"/>
              </w:numPr>
              <w:spacing w:after="40"/>
              <w:jc w:val="both"/>
            </w:pPr>
            <w:r>
              <w:rPr>
                <w:rFonts w:ascii="Calibri" w:hAnsi="Calibri"/>
              </w:rPr>
              <w:t xml:space="preserve">Customer property, IT/data, access, legal/regulatory </w:t>
            </w:r>
            <w:proofErr w:type="spellStart"/>
            <w:r>
              <w:rPr>
                <w:rFonts w:ascii="Calibri" w:hAnsi="Calibri"/>
              </w:rPr>
              <w:t>licences</w:t>
            </w:r>
            <w:proofErr w:type="spellEnd"/>
            <w:r>
              <w:rPr>
                <w:rFonts w:ascii="Calibri" w:hAnsi="Calibri"/>
              </w:rPr>
              <w:t xml:space="preserve"> or permits, and obligations that may remain at exit.</w:t>
            </w:r>
          </w:p>
          <w:p w14:paraId="49EAFEBC" w14:textId="4AA3B637" w:rsidR="00AF0F4A" w:rsidRDefault="00000000">
            <w:pPr>
              <w:pStyle w:val="ListParagraph"/>
              <w:numPr>
                <w:ilvl w:val="0"/>
                <w:numId w:val="2"/>
              </w:numPr>
              <w:spacing w:after="40"/>
              <w:jc w:val="both"/>
            </w:pPr>
            <w:r>
              <w:rPr>
                <w:rFonts w:ascii="Calibri" w:hAnsi="Calibri"/>
              </w:rPr>
              <w:t>Insurance and business</w:t>
            </w:r>
            <w:r w:rsidR="006A617A">
              <w:rPr>
                <w:rFonts w:ascii="Calibri" w:hAnsi="Calibri"/>
              </w:rPr>
              <w:t xml:space="preserve"> </w:t>
            </w:r>
            <w:r>
              <w:rPr>
                <w:rFonts w:ascii="Calibri" w:hAnsi="Calibri"/>
              </w:rPr>
              <w:t xml:space="preserve">continuity </w:t>
            </w:r>
            <w:r w:rsidR="006C226A">
              <w:rPr>
                <w:rFonts w:ascii="Calibri" w:hAnsi="Calibri"/>
              </w:rPr>
              <w:t>requirements</w:t>
            </w:r>
            <w:r>
              <w:rPr>
                <w:rFonts w:ascii="Calibri" w:hAnsi="Calibri"/>
              </w:rPr>
              <w:t xml:space="preserve"> where the exposure, assets, or work will move or end.</w:t>
            </w:r>
          </w:p>
          <w:p w14:paraId="573B544D" w14:textId="77777777" w:rsidR="00AF0F4A" w:rsidRDefault="00000000">
            <w:pPr>
              <w:pStyle w:val="ListParagraph"/>
              <w:numPr>
                <w:ilvl w:val="0"/>
                <w:numId w:val="2"/>
              </w:numPr>
              <w:spacing w:after="40"/>
              <w:jc w:val="both"/>
            </w:pPr>
            <w:r>
              <w:rPr>
                <w:rFonts w:ascii="Calibri" w:hAnsi="Calibri"/>
              </w:rPr>
              <w:t>Reasonably foreseeable exit and demobilization costs.</w:t>
            </w:r>
          </w:p>
          <w:p w14:paraId="1A1DFE4B" w14:textId="1F99ADF8" w:rsidR="00AF0F4A" w:rsidRDefault="006A617A">
            <w:pPr>
              <w:spacing w:after="120"/>
              <w:jc w:val="both"/>
            </w:pPr>
            <w:r>
              <w:rPr>
                <w:rFonts w:ascii="Calibri" w:hAnsi="Calibri"/>
              </w:rPr>
              <w:t>Significant exit risks identified at project approval must be recorded and managed under the SMSA Risk Management Policy. Major contracts should contain appropriate exit, notice, asset/data return, access removal, handover, final settlement, and continuing obligation requirements.</w:t>
            </w:r>
          </w:p>
          <w:p w14:paraId="0BB14171" w14:textId="77777777" w:rsidR="00AF0F4A" w:rsidRDefault="00000000">
            <w:pPr>
              <w:keepNext/>
              <w:spacing w:before="120" w:after="80"/>
              <w:jc w:val="both"/>
            </w:pPr>
            <w:r>
              <w:rPr>
                <w:rFonts w:ascii="Calibri" w:hAnsi="Calibri"/>
                <w:b/>
              </w:rPr>
              <w:t>4. Demobilization Plan and Risk Assessment</w:t>
            </w:r>
          </w:p>
          <w:p w14:paraId="2A283663" w14:textId="77777777" w:rsidR="00AF0F4A" w:rsidRDefault="00000000">
            <w:pPr>
              <w:spacing w:after="120"/>
              <w:jc w:val="both"/>
            </w:pPr>
            <w:r>
              <w:rPr>
                <w:rFonts w:ascii="Calibri" w:hAnsi="Calibri"/>
              </w:rPr>
              <w:t>A written Demobilization Plan is mandatory for Major Demobilizations and must be approved before physical demobilization starts, except where urgent action is required in a genuine emergency. Smaller changes may use the approved simplified closure checklist.</w:t>
            </w:r>
          </w:p>
          <w:p w14:paraId="63BB3F7E" w14:textId="77777777" w:rsidR="00AF0F4A" w:rsidRDefault="00000000">
            <w:pPr>
              <w:spacing w:after="120"/>
              <w:jc w:val="both"/>
            </w:pPr>
            <w:r>
              <w:rPr>
                <w:rFonts w:ascii="Calibri" w:hAnsi="Calibri"/>
              </w:rPr>
              <w:t>The plan or checklist must cover the areas that apply to the demobilization, including:</w:t>
            </w:r>
          </w:p>
          <w:p w14:paraId="217FA236" w14:textId="77777777" w:rsidR="00AF0F4A" w:rsidRDefault="00000000">
            <w:pPr>
              <w:pStyle w:val="ListParagraph"/>
              <w:numPr>
                <w:ilvl w:val="0"/>
                <w:numId w:val="2"/>
              </w:numPr>
              <w:spacing w:after="40"/>
              <w:jc w:val="both"/>
            </w:pPr>
            <w:r>
              <w:rPr>
                <w:rFonts w:ascii="Calibri" w:hAnsi="Calibri"/>
              </w:rPr>
              <w:t>Site/project details, reason, key dates, Business / Project Owner, Demobilization Lead, and required functional clearances.</w:t>
            </w:r>
          </w:p>
          <w:p w14:paraId="387EB880" w14:textId="77777777" w:rsidR="00AF0F4A" w:rsidRDefault="00000000">
            <w:pPr>
              <w:pStyle w:val="ListParagraph"/>
              <w:numPr>
                <w:ilvl w:val="0"/>
                <w:numId w:val="2"/>
              </w:numPr>
              <w:spacing w:after="40"/>
              <w:jc w:val="both"/>
            </w:pPr>
            <w:r>
              <w:rPr>
                <w:rFonts w:ascii="Calibri" w:hAnsi="Calibri"/>
              </w:rPr>
              <w:t>Customer communication, service continuity, shipments, customer inventory/property, and COD/cash where applicable.</w:t>
            </w:r>
          </w:p>
          <w:p w14:paraId="7078D9E4" w14:textId="5542DD3A" w:rsidR="00AF0F4A" w:rsidRDefault="00000000">
            <w:pPr>
              <w:pStyle w:val="ListParagraph"/>
              <w:numPr>
                <w:ilvl w:val="0"/>
                <w:numId w:val="2"/>
              </w:numPr>
              <w:spacing w:after="40"/>
              <w:jc w:val="both"/>
            </w:pPr>
            <w:r>
              <w:rPr>
                <w:rFonts w:ascii="Calibri" w:hAnsi="Calibri"/>
              </w:rPr>
              <w:t>SMSA employees and outsourced/third</w:t>
            </w:r>
            <w:r w:rsidR="006A617A">
              <w:rPr>
                <w:rFonts w:ascii="Calibri" w:hAnsi="Calibri"/>
              </w:rPr>
              <w:t xml:space="preserve"> </w:t>
            </w:r>
            <w:r>
              <w:rPr>
                <w:rFonts w:ascii="Calibri" w:hAnsi="Calibri"/>
              </w:rPr>
              <w:t>party manpower.</w:t>
            </w:r>
          </w:p>
          <w:p w14:paraId="674C0666" w14:textId="77777777" w:rsidR="00AF0F4A" w:rsidRDefault="00000000">
            <w:pPr>
              <w:pStyle w:val="ListParagraph"/>
              <w:numPr>
                <w:ilvl w:val="0"/>
                <w:numId w:val="2"/>
              </w:numPr>
              <w:spacing w:after="40"/>
              <w:jc w:val="both"/>
            </w:pPr>
            <w:r>
              <w:rPr>
                <w:rFonts w:ascii="Calibri" w:hAnsi="Calibri"/>
              </w:rPr>
              <w:t>Assets and equipment, including ownership and approved destination.</w:t>
            </w:r>
          </w:p>
          <w:p w14:paraId="6A9E5995" w14:textId="77777777" w:rsidR="00AF0F4A" w:rsidRDefault="00000000">
            <w:pPr>
              <w:pStyle w:val="ListParagraph"/>
              <w:numPr>
                <w:ilvl w:val="0"/>
                <w:numId w:val="2"/>
              </w:numPr>
              <w:spacing w:after="40"/>
              <w:jc w:val="both"/>
            </w:pPr>
            <w:r>
              <w:rPr>
                <w:rFonts w:ascii="Calibri" w:hAnsi="Calibri"/>
              </w:rPr>
              <w:t>Contracts, leases, landlords, utilities, vendors, and site services.</w:t>
            </w:r>
          </w:p>
          <w:p w14:paraId="57DFA3DC" w14:textId="77777777" w:rsidR="00AF0F4A" w:rsidRDefault="00000000">
            <w:pPr>
              <w:pStyle w:val="ListParagraph"/>
              <w:numPr>
                <w:ilvl w:val="0"/>
                <w:numId w:val="2"/>
              </w:numPr>
              <w:spacing w:after="40"/>
              <w:jc w:val="both"/>
            </w:pPr>
            <w:r>
              <w:rPr>
                <w:rFonts w:ascii="Calibri" w:hAnsi="Calibri"/>
              </w:rPr>
              <w:t xml:space="preserve">IT assets, systems, access, data, </w:t>
            </w:r>
            <w:proofErr w:type="spellStart"/>
            <w:r>
              <w:rPr>
                <w:rFonts w:ascii="Calibri" w:hAnsi="Calibri"/>
              </w:rPr>
              <w:t>licences</w:t>
            </w:r>
            <w:proofErr w:type="spellEnd"/>
            <w:r>
              <w:rPr>
                <w:rFonts w:ascii="Calibri" w:hAnsi="Calibri"/>
              </w:rPr>
              <w:t>, telecom, and technical clearance.</w:t>
            </w:r>
          </w:p>
          <w:p w14:paraId="399E1CFE" w14:textId="77777777" w:rsidR="00AF0F4A" w:rsidRDefault="00000000">
            <w:pPr>
              <w:pStyle w:val="ListParagraph"/>
              <w:numPr>
                <w:ilvl w:val="0"/>
                <w:numId w:val="2"/>
              </w:numPr>
              <w:spacing w:after="40"/>
              <w:jc w:val="both"/>
            </w:pPr>
            <w:r>
              <w:rPr>
                <w:rFonts w:ascii="Calibri" w:hAnsi="Calibri"/>
              </w:rPr>
              <w:t xml:space="preserve">Finance and insurance matters, including known costs, claims, deposits, guarantees, and </w:t>
            </w:r>
            <w:r>
              <w:rPr>
                <w:rFonts w:ascii="Calibri" w:hAnsi="Calibri"/>
              </w:rPr>
              <w:lastRenderedPageBreak/>
              <w:t>required coverage action.</w:t>
            </w:r>
          </w:p>
          <w:p w14:paraId="01CB0F99" w14:textId="77777777" w:rsidR="00AF0F4A" w:rsidRDefault="00000000">
            <w:pPr>
              <w:pStyle w:val="ListParagraph"/>
              <w:numPr>
                <w:ilvl w:val="0"/>
                <w:numId w:val="2"/>
              </w:numPr>
              <w:spacing w:after="40"/>
              <w:jc w:val="both"/>
            </w:pPr>
            <w:r>
              <w:rPr>
                <w:rFonts w:ascii="Calibri" w:hAnsi="Calibri"/>
              </w:rPr>
              <w:t xml:space="preserve">Legal/regulatory </w:t>
            </w:r>
            <w:proofErr w:type="spellStart"/>
            <w:r>
              <w:rPr>
                <w:rFonts w:ascii="Calibri" w:hAnsi="Calibri"/>
              </w:rPr>
              <w:t>licences</w:t>
            </w:r>
            <w:proofErr w:type="spellEnd"/>
            <w:r>
              <w:rPr>
                <w:rFonts w:ascii="Calibri" w:hAnsi="Calibri"/>
              </w:rPr>
              <w:t>, permits, notices, inspections, open NCs/corrective actions, and other continuing obligations.</w:t>
            </w:r>
          </w:p>
          <w:p w14:paraId="66221375" w14:textId="5674FFD3" w:rsidR="00AF0F4A" w:rsidRDefault="00000000">
            <w:pPr>
              <w:pStyle w:val="ListParagraph"/>
              <w:numPr>
                <w:ilvl w:val="0"/>
                <w:numId w:val="2"/>
              </w:numPr>
              <w:spacing w:after="40"/>
              <w:jc w:val="both"/>
            </w:pPr>
            <w:r>
              <w:rPr>
                <w:rFonts w:ascii="Calibri" w:hAnsi="Calibri"/>
              </w:rPr>
              <w:t>Safety, security, environmental controls, and receiving</w:t>
            </w:r>
            <w:r w:rsidR="006A617A">
              <w:rPr>
                <w:rFonts w:ascii="Calibri" w:hAnsi="Calibri"/>
              </w:rPr>
              <w:t xml:space="preserve"> </w:t>
            </w:r>
            <w:r>
              <w:rPr>
                <w:rFonts w:ascii="Calibri" w:hAnsi="Calibri"/>
              </w:rPr>
              <w:t>location readiness.</w:t>
            </w:r>
          </w:p>
          <w:p w14:paraId="44515628" w14:textId="77777777" w:rsidR="00AF0F4A" w:rsidRDefault="00000000">
            <w:pPr>
              <w:pStyle w:val="ListParagraph"/>
              <w:numPr>
                <w:ilvl w:val="0"/>
                <w:numId w:val="2"/>
              </w:numPr>
              <w:spacing w:after="40"/>
              <w:jc w:val="both"/>
            </w:pPr>
            <w:r>
              <w:rPr>
                <w:rFonts w:ascii="Calibri" w:hAnsi="Calibri"/>
              </w:rPr>
              <w:t>Risks, outstanding actions, responsible owners, target dates, and required approvals.</w:t>
            </w:r>
          </w:p>
          <w:p w14:paraId="7F632786" w14:textId="77777777" w:rsidR="00AF0F4A" w:rsidRDefault="00000000">
            <w:pPr>
              <w:spacing w:after="120"/>
              <w:jc w:val="both"/>
            </w:pPr>
            <w:r>
              <w:rPr>
                <w:rFonts w:ascii="Calibri" w:hAnsi="Calibri"/>
              </w:rPr>
              <w:t>The risk assessment must be completed before execution and updated if conditions change. Risks must be assessed, treated, escalated, accepted, or transferred under the SMSA Risk Management Policy. A risk does not close simply because the old site or project stops operating.</w:t>
            </w:r>
          </w:p>
          <w:p w14:paraId="19F04E92" w14:textId="17B7E818" w:rsidR="00AF0F4A" w:rsidRDefault="00000000">
            <w:pPr>
              <w:keepNext/>
              <w:spacing w:before="120" w:after="80"/>
              <w:jc w:val="both"/>
            </w:pPr>
            <w:r>
              <w:rPr>
                <w:rFonts w:ascii="Calibri" w:hAnsi="Calibri"/>
                <w:b/>
              </w:rPr>
              <w:t>5. People and Third</w:t>
            </w:r>
            <w:r w:rsidR="006A617A">
              <w:rPr>
                <w:rFonts w:ascii="Calibri" w:hAnsi="Calibri"/>
                <w:b/>
              </w:rPr>
              <w:t xml:space="preserve"> </w:t>
            </w:r>
            <w:r>
              <w:rPr>
                <w:rFonts w:ascii="Calibri" w:hAnsi="Calibri"/>
                <w:b/>
              </w:rPr>
              <w:t>Party Manpower</w:t>
            </w:r>
          </w:p>
          <w:p w14:paraId="3302F980" w14:textId="77777777" w:rsidR="00AF0F4A" w:rsidRDefault="00000000">
            <w:pPr>
              <w:spacing w:after="120"/>
              <w:jc w:val="both"/>
            </w:pPr>
            <w:r>
              <w:rPr>
                <w:rFonts w:ascii="Calibri" w:hAnsi="Calibri"/>
              </w:rPr>
              <w:t>HR must control all SMSA employee movements. The Demobilization Lead must provide HR with the affected employee list early enough for proper planning. Every SMSA employee must have one documented outcome: transfer, reassignment, or separation through the approved HR process.</w:t>
            </w:r>
          </w:p>
          <w:p w14:paraId="142A81C3" w14:textId="77777777" w:rsidR="00AF0F4A" w:rsidRDefault="00000000">
            <w:pPr>
              <w:spacing w:after="120"/>
              <w:jc w:val="both"/>
            </w:pPr>
            <w:r>
              <w:rPr>
                <w:rFonts w:ascii="Calibri" w:hAnsi="Calibri"/>
              </w:rPr>
              <w:t>For a transfer or reassignment, the record must show the receiving department/location, receiving manager, role where applicable, effective date, and employee communication. Verbal instructions or assumptions are not acceptable evidence.</w:t>
            </w:r>
          </w:p>
          <w:p w14:paraId="3DC0DCA6" w14:textId="77777777" w:rsidR="00AF0F4A" w:rsidRDefault="00000000">
            <w:pPr>
              <w:spacing w:after="120"/>
              <w:jc w:val="both"/>
            </w:pPr>
            <w:r>
              <w:rPr>
                <w:rFonts w:ascii="Calibri" w:hAnsi="Calibri"/>
              </w:rPr>
              <w:t>Before an employee leaves the old operation, the relevant functions must clear or transfer assets, IDs/badges, keys, access, cash/advances, records, customer items, and work handover as applicable.</w:t>
            </w:r>
          </w:p>
          <w:p w14:paraId="2ADD98BC" w14:textId="1A7D0B00" w:rsidR="00AF0F4A" w:rsidRDefault="00000000">
            <w:pPr>
              <w:spacing w:after="120"/>
              <w:jc w:val="both"/>
            </w:pPr>
            <w:r>
              <w:rPr>
                <w:rFonts w:ascii="Calibri" w:hAnsi="Calibri"/>
              </w:rPr>
              <w:t>Outsourced and third</w:t>
            </w:r>
            <w:r w:rsidR="006A617A">
              <w:rPr>
                <w:rFonts w:ascii="Calibri" w:hAnsi="Calibri"/>
              </w:rPr>
              <w:t xml:space="preserve"> </w:t>
            </w:r>
            <w:r>
              <w:rPr>
                <w:rFonts w:ascii="Calibri" w:hAnsi="Calibri"/>
              </w:rPr>
              <w:t>party manpower must be managed as a separate workstream. The relevant business function must confirm the supplier, affected manpower, contractual notice/last</w:t>
            </w:r>
            <w:r w:rsidR="006A617A">
              <w:rPr>
                <w:rFonts w:ascii="Calibri" w:hAnsi="Calibri"/>
              </w:rPr>
              <w:t xml:space="preserve"> </w:t>
            </w:r>
            <w:r>
              <w:rPr>
                <w:rFonts w:ascii="Calibri" w:hAnsi="Calibri"/>
              </w:rPr>
              <w:t>working date, cancellation or reassignment requirement</w:t>
            </w:r>
            <w:r w:rsidR="006C226A">
              <w:rPr>
                <w:rFonts w:ascii="Calibri" w:hAnsi="Calibri"/>
              </w:rPr>
              <w:t xml:space="preserve"> in liaison with the outsource management business function along with</w:t>
            </w:r>
            <w:r>
              <w:rPr>
                <w:rFonts w:ascii="Calibri" w:hAnsi="Calibri"/>
              </w:rPr>
              <w:t xml:space="preserve"> final vendor position, and return of SMSA assets/access. Written vendor confirmation must be retained where applicable.</w:t>
            </w:r>
          </w:p>
          <w:p w14:paraId="12392244" w14:textId="77777777" w:rsidR="00AF0F4A" w:rsidRDefault="00000000">
            <w:pPr>
              <w:keepNext/>
              <w:spacing w:before="120" w:after="80"/>
              <w:jc w:val="both"/>
            </w:pPr>
            <w:r>
              <w:rPr>
                <w:rFonts w:ascii="Calibri" w:hAnsi="Calibri"/>
                <w:b/>
              </w:rPr>
              <w:t>6. Assets, Equipment and Customer Property</w:t>
            </w:r>
          </w:p>
          <w:p w14:paraId="34E4467F" w14:textId="53AF966F" w:rsidR="00AF0F4A" w:rsidRDefault="00000000">
            <w:pPr>
              <w:spacing w:after="120"/>
              <w:jc w:val="both"/>
            </w:pPr>
            <w:r>
              <w:rPr>
                <w:rFonts w:ascii="Calibri" w:hAnsi="Calibri"/>
              </w:rPr>
              <w:t>Before equipment is moved, returned, stored, auctioned, or disposed of, Inventory must complete or verify a physical count and reconcile the items to the SMSA asset/inventory records. SMSA</w:t>
            </w:r>
            <w:r w:rsidR="006A617A">
              <w:rPr>
                <w:rFonts w:ascii="Calibri" w:hAnsi="Calibri"/>
              </w:rPr>
              <w:t xml:space="preserve"> </w:t>
            </w:r>
            <w:r>
              <w:rPr>
                <w:rFonts w:ascii="Calibri" w:hAnsi="Calibri"/>
              </w:rPr>
              <w:t>owned items must be separated from rented, leased, customer</w:t>
            </w:r>
            <w:r w:rsidR="006A617A">
              <w:rPr>
                <w:rFonts w:ascii="Calibri" w:hAnsi="Calibri"/>
              </w:rPr>
              <w:t xml:space="preserve"> </w:t>
            </w:r>
            <w:r>
              <w:rPr>
                <w:rFonts w:ascii="Calibri" w:hAnsi="Calibri"/>
              </w:rPr>
              <w:t>owned, supplier</w:t>
            </w:r>
            <w:r w:rsidR="006A617A">
              <w:rPr>
                <w:rFonts w:ascii="Calibri" w:hAnsi="Calibri"/>
              </w:rPr>
              <w:t xml:space="preserve"> </w:t>
            </w:r>
            <w:r>
              <w:rPr>
                <w:rFonts w:ascii="Calibri" w:hAnsi="Calibri"/>
              </w:rPr>
              <w:t>owned, landlord</w:t>
            </w:r>
            <w:r w:rsidR="006A617A">
              <w:rPr>
                <w:rFonts w:ascii="Calibri" w:hAnsi="Calibri"/>
              </w:rPr>
              <w:t xml:space="preserve"> </w:t>
            </w:r>
            <w:r>
              <w:rPr>
                <w:rFonts w:ascii="Calibri" w:hAnsi="Calibri"/>
              </w:rPr>
              <w:t>owned, or other third</w:t>
            </w:r>
            <w:r w:rsidR="006A617A">
              <w:rPr>
                <w:rFonts w:ascii="Calibri" w:hAnsi="Calibri"/>
              </w:rPr>
              <w:t xml:space="preserve"> </w:t>
            </w:r>
            <w:r>
              <w:rPr>
                <w:rFonts w:ascii="Calibri" w:hAnsi="Calibri"/>
              </w:rPr>
              <w:t>party items.</w:t>
            </w:r>
          </w:p>
          <w:p w14:paraId="34714E07" w14:textId="77777777" w:rsidR="00AF0F4A" w:rsidRDefault="00000000">
            <w:pPr>
              <w:spacing w:after="120"/>
              <w:jc w:val="both"/>
            </w:pPr>
            <w:r>
              <w:rPr>
                <w:rFonts w:ascii="Calibri" w:hAnsi="Calibri"/>
              </w:rPr>
              <w:t>Every asset or item must have one approved outcome:</w:t>
            </w:r>
          </w:p>
          <w:p w14:paraId="79CB3EDA" w14:textId="196DD522" w:rsidR="00AF0F4A" w:rsidRDefault="00000000">
            <w:pPr>
              <w:pStyle w:val="ListParagraph"/>
              <w:numPr>
                <w:ilvl w:val="0"/>
                <w:numId w:val="2"/>
              </w:numPr>
              <w:spacing w:after="40"/>
              <w:jc w:val="both"/>
            </w:pPr>
            <w:r>
              <w:rPr>
                <w:rFonts w:ascii="Calibri" w:hAnsi="Calibri"/>
              </w:rPr>
              <w:t>Relocate or redeploy an SMSA</w:t>
            </w:r>
            <w:r w:rsidR="006A617A">
              <w:rPr>
                <w:rFonts w:ascii="Calibri" w:hAnsi="Calibri"/>
              </w:rPr>
              <w:t xml:space="preserve"> </w:t>
            </w:r>
            <w:r>
              <w:rPr>
                <w:rFonts w:ascii="Calibri" w:hAnsi="Calibri"/>
              </w:rPr>
              <w:t>owned asset to another approved location, with Inventory movement and receiving evidence.</w:t>
            </w:r>
          </w:p>
          <w:p w14:paraId="05372902" w14:textId="55AA0BA3" w:rsidR="00AF0F4A" w:rsidRDefault="00000000">
            <w:pPr>
              <w:pStyle w:val="ListParagraph"/>
              <w:numPr>
                <w:ilvl w:val="0"/>
                <w:numId w:val="2"/>
              </w:numPr>
              <w:spacing w:after="40"/>
              <w:jc w:val="both"/>
            </w:pPr>
            <w:r>
              <w:rPr>
                <w:rFonts w:ascii="Calibri" w:hAnsi="Calibri"/>
              </w:rPr>
              <w:t>Return rented, leased, borrowed, customer</w:t>
            </w:r>
            <w:r w:rsidR="006A617A">
              <w:rPr>
                <w:rFonts w:ascii="Calibri" w:hAnsi="Calibri"/>
              </w:rPr>
              <w:t xml:space="preserve"> </w:t>
            </w:r>
            <w:r>
              <w:rPr>
                <w:rFonts w:ascii="Calibri" w:hAnsi="Calibri"/>
              </w:rPr>
              <w:t>owned, supplier</w:t>
            </w:r>
            <w:r w:rsidR="006A617A">
              <w:rPr>
                <w:rFonts w:ascii="Calibri" w:hAnsi="Calibri"/>
              </w:rPr>
              <w:t xml:space="preserve"> </w:t>
            </w:r>
            <w:r>
              <w:rPr>
                <w:rFonts w:ascii="Calibri" w:hAnsi="Calibri"/>
              </w:rPr>
              <w:t>owned, landlord</w:t>
            </w:r>
            <w:r w:rsidR="006A617A">
              <w:rPr>
                <w:rFonts w:ascii="Calibri" w:hAnsi="Calibri"/>
              </w:rPr>
              <w:t xml:space="preserve"> </w:t>
            </w:r>
            <w:r>
              <w:rPr>
                <w:rFonts w:ascii="Calibri" w:hAnsi="Calibri"/>
              </w:rPr>
              <w:t>owned, or other third</w:t>
            </w:r>
            <w:r w:rsidR="006A617A">
              <w:rPr>
                <w:rFonts w:ascii="Calibri" w:hAnsi="Calibri"/>
              </w:rPr>
              <w:t xml:space="preserve"> </w:t>
            </w:r>
            <w:r>
              <w:rPr>
                <w:rFonts w:ascii="Calibri" w:hAnsi="Calibri"/>
              </w:rPr>
              <w:t>party property to its legal owner with appropriate return/handover evidence.</w:t>
            </w:r>
          </w:p>
          <w:p w14:paraId="302CF64A" w14:textId="65233436" w:rsidR="00AF0F4A" w:rsidRDefault="00000000">
            <w:pPr>
              <w:pStyle w:val="ListParagraph"/>
              <w:numPr>
                <w:ilvl w:val="0"/>
                <w:numId w:val="2"/>
              </w:numPr>
              <w:spacing w:after="40"/>
              <w:jc w:val="both"/>
            </w:pPr>
            <w:r>
              <w:rPr>
                <w:rFonts w:ascii="Calibri" w:hAnsi="Calibri"/>
              </w:rPr>
              <w:t>Move SMSA</w:t>
            </w:r>
            <w:r w:rsidR="006A617A">
              <w:rPr>
                <w:rFonts w:ascii="Calibri" w:hAnsi="Calibri"/>
              </w:rPr>
              <w:t xml:space="preserve"> </w:t>
            </w:r>
            <w:r>
              <w:rPr>
                <w:rFonts w:ascii="Calibri" w:hAnsi="Calibri"/>
              </w:rPr>
              <w:t>owned surplus or obsolete assets to Inventory</w:t>
            </w:r>
            <w:r w:rsidR="006A617A">
              <w:rPr>
                <w:rFonts w:ascii="Calibri" w:hAnsi="Calibri"/>
              </w:rPr>
              <w:t xml:space="preserve"> </w:t>
            </w:r>
            <w:r>
              <w:rPr>
                <w:rFonts w:ascii="Calibri" w:hAnsi="Calibri"/>
              </w:rPr>
              <w:t>controlled holding for the approved asset</w:t>
            </w:r>
            <w:r w:rsidR="006A617A">
              <w:rPr>
                <w:rFonts w:ascii="Calibri" w:hAnsi="Calibri"/>
              </w:rPr>
              <w:t xml:space="preserve"> </w:t>
            </w:r>
            <w:r>
              <w:rPr>
                <w:rFonts w:ascii="Calibri" w:hAnsi="Calibri"/>
              </w:rPr>
              <w:t>management process.</w:t>
            </w:r>
          </w:p>
          <w:p w14:paraId="47F13013" w14:textId="4A1BBB64" w:rsidR="00AF0F4A" w:rsidRDefault="00000000">
            <w:pPr>
              <w:pStyle w:val="ListParagraph"/>
              <w:numPr>
                <w:ilvl w:val="0"/>
                <w:numId w:val="2"/>
              </w:numPr>
              <w:spacing w:after="40"/>
              <w:jc w:val="both"/>
            </w:pPr>
            <w:r>
              <w:rPr>
                <w:rFonts w:ascii="Calibri" w:hAnsi="Calibri"/>
              </w:rPr>
              <w:t>Dispose of or destroy unusable assets only through the approved SMSA process, with required clearance and asset</w:t>
            </w:r>
            <w:r w:rsidR="006A617A">
              <w:rPr>
                <w:rFonts w:ascii="Calibri" w:hAnsi="Calibri"/>
              </w:rPr>
              <w:t xml:space="preserve"> </w:t>
            </w:r>
            <w:r>
              <w:rPr>
                <w:rFonts w:ascii="Calibri" w:hAnsi="Calibri"/>
              </w:rPr>
              <w:t>register update.</w:t>
            </w:r>
          </w:p>
          <w:p w14:paraId="0ACE35C7" w14:textId="77777777" w:rsidR="00AF0F4A" w:rsidRDefault="00000000">
            <w:pPr>
              <w:spacing w:after="120"/>
              <w:jc w:val="both"/>
            </w:pPr>
            <w:r>
              <w:rPr>
                <w:rFonts w:ascii="Calibri" w:hAnsi="Calibri"/>
              </w:rPr>
              <w:t>Reuse or redeployment should be considered before auction or disposal where practical and approved. IT equipment or media containing SMSA/customer information requires ITD technical/data clearance before transfer, return, reuse, auction, or disposal.</w:t>
            </w:r>
          </w:p>
          <w:p w14:paraId="23F1C3D9" w14:textId="77777777" w:rsidR="00AF0F4A" w:rsidRDefault="00000000">
            <w:pPr>
              <w:spacing w:after="120"/>
              <w:jc w:val="both"/>
            </w:pPr>
            <w:r>
              <w:rPr>
                <w:rFonts w:ascii="Calibri" w:hAnsi="Calibri"/>
              </w:rPr>
              <w:lastRenderedPageBreak/>
              <w:t>Customer shipments, inventory, COD/cash, and other customer property must remain under normal custody, scan, security, and reconciliation controls throughout the demobilization. Final closure must not be approved while customer property or cash remains unaccounted for.</w:t>
            </w:r>
          </w:p>
          <w:p w14:paraId="0CF32A49" w14:textId="77777777" w:rsidR="00AF0F4A" w:rsidRDefault="00000000">
            <w:pPr>
              <w:spacing w:after="120"/>
              <w:jc w:val="both"/>
              <w:rPr>
                <w:rFonts w:ascii="Calibri" w:hAnsi="Calibri"/>
              </w:rPr>
            </w:pPr>
            <w:r>
              <w:rPr>
                <w:rFonts w:ascii="Calibri" w:hAnsi="Calibri"/>
              </w:rPr>
              <w:t>If an asset, device, document, or record may be evidence in an incident, claim, legal matter, or investigation, it must be protected and must not be wiped, altered, auctioned, disposed of, or returned in a way that damages the evidence until the responsible function confirms release.</w:t>
            </w:r>
          </w:p>
          <w:p w14:paraId="47191467" w14:textId="63CCD3F8" w:rsidR="005D6A4A" w:rsidRDefault="005D6A4A" w:rsidP="005D6A4A">
            <w:pPr>
              <w:spacing w:after="120"/>
              <w:jc w:val="both"/>
            </w:pPr>
            <w:r w:rsidRPr="005D6A4A">
              <w:t>Third</w:t>
            </w:r>
            <w:r>
              <w:t xml:space="preserve"> </w:t>
            </w:r>
            <w:r w:rsidRPr="005D6A4A">
              <w:t>party property must not be sold, disposed of or otherwise treated as an SMSA asset unless legal ownership has been formally transferred to SMSA.</w:t>
            </w:r>
          </w:p>
          <w:p w14:paraId="67A9ECD0" w14:textId="77777777" w:rsidR="00AF0F4A" w:rsidRDefault="00000000">
            <w:pPr>
              <w:keepNext/>
              <w:spacing w:before="120" w:after="80"/>
              <w:jc w:val="both"/>
            </w:pPr>
            <w:r>
              <w:rPr>
                <w:rFonts w:ascii="Calibri" w:hAnsi="Calibri"/>
                <w:b/>
              </w:rPr>
              <w:t>7. Contract Closure and Reassignment</w:t>
            </w:r>
          </w:p>
          <w:p w14:paraId="7CEECD89" w14:textId="77777777" w:rsidR="00AF0F4A" w:rsidRDefault="00000000">
            <w:pPr>
              <w:spacing w:after="120"/>
              <w:jc w:val="both"/>
            </w:pPr>
            <w:r>
              <w:rPr>
                <w:rFonts w:ascii="Calibri" w:hAnsi="Calibri"/>
              </w:rPr>
              <w:t>The Demobilization Lead must maintain one Contract Closure Register, but each contract remains owned by the department or manager responsible for that contract. Purchasing is not the blanket owner of contract closure.</w:t>
            </w:r>
          </w:p>
          <w:p w14:paraId="70500923" w14:textId="77777777" w:rsidR="00AF0F4A" w:rsidRDefault="00000000">
            <w:pPr>
              <w:pStyle w:val="ListParagraph"/>
              <w:numPr>
                <w:ilvl w:val="0"/>
                <w:numId w:val="2"/>
              </w:numPr>
              <w:spacing w:after="40"/>
              <w:jc w:val="both"/>
            </w:pPr>
            <w:r>
              <w:rPr>
                <w:rFonts w:ascii="Calibri" w:hAnsi="Calibri"/>
              </w:rPr>
              <w:t>Customer/commercial contracts: Sales / Commercial with the Logistics / Project Owner and Legal as applicable.</w:t>
            </w:r>
          </w:p>
          <w:p w14:paraId="497B7408" w14:textId="13AEA045" w:rsidR="00AF0F4A" w:rsidRDefault="00000000">
            <w:pPr>
              <w:pStyle w:val="ListParagraph"/>
              <w:numPr>
                <w:ilvl w:val="0"/>
                <w:numId w:val="2"/>
              </w:numPr>
              <w:spacing w:after="40"/>
              <w:jc w:val="both"/>
            </w:pPr>
            <w:r>
              <w:rPr>
                <w:rFonts w:ascii="Calibri" w:hAnsi="Calibri"/>
              </w:rPr>
              <w:t>Logistics, 2PL/3PL, warehousing, transport, project</w:t>
            </w:r>
            <w:r w:rsidR="006A617A">
              <w:rPr>
                <w:rFonts w:ascii="Calibri" w:hAnsi="Calibri"/>
              </w:rPr>
              <w:t xml:space="preserve"> </w:t>
            </w:r>
            <w:r>
              <w:rPr>
                <w:rFonts w:ascii="Calibri" w:hAnsi="Calibri"/>
              </w:rPr>
              <w:t>operation, and subcontracted</w:t>
            </w:r>
            <w:r w:rsidR="006A617A">
              <w:rPr>
                <w:rFonts w:ascii="Calibri" w:hAnsi="Calibri"/>
              </w:rPr>
              <w:t xml:space="preserve"> </w:t>
            </w:r>
            <w:r>
              <w:rPr>
                <w:rFonts w:ascii="Calibri" w:hAnsi="Calibri"/>
              </w:rPr>
              <w:t>service contracts: the relevant Logistics / Project / Contract Owner, with Legal and Finance as applicable.</w:t>
            </w:r>
          </w:p>
          <w:p w14:paraId="201F3B8A" w14:textId="1DF8AB04" w:rsidR="00AF0F4A" w:rsidRDefault="00000000">
            <w:pPr>
              <w:pStyle w:val="ListParagraph"/>
              <w:numPr>
                <w:ilvl w:val="0"/>
                <w:numId w:val="2"/>
              </w:numPr>
              <w:spacing w:after="40"/>
              <w:jc w:val="both"/>
            </w:pPr>
            <w:r>
              <w:rPr>
                <w:rFonts w:ascii="Calibri" w:hAnsi="Calibri"/>
              </w:rPr>
              <w:t>Facility, lease, landlord, utility, cleaning, maintenance, waste, and other site</w:t>
            </w:r>
            <w:r w:rsidR="006A617A">
              <w:rPr>
                <w:rFonts w:ascii="Calibri" w:hAnsi="Calibri"/>
              </w:rPr>
              <w:t xml:space="preserve"> </w:t>
            </w:r>
            <w:r>
              <w:rPr>
                <w:rFonts w:ascii="Calibri" w:hAnsi="Calibri"/>
              </w:rPr>
              <w:t>service contracts: Facilities / Administration as the relevant Contract Owner, with Legal and Finance as applicable.</w:t>
            </w:r>
          </w:p>
          <w:p w14:paraId="693BCE6F" w14:textId="77777777" w:rsidR="00AF0F4A" w:rsidRDefault="00000000">
            <w:pPr>
              <w:pStyle w:val="ListParagraph"/>
              <w:numPr>
                <w:ilvl w:val="0"/>
                <w:numId w:val="2"/>
              </w:numPr>
              <w:spacing w:after="40"/>
              <w:jc w:val="both"/>
            </w:pPr>
            <w:r>
              <w:rPr>
                <w:rFonts w:ascii="Calibri" w:hAnsi="Calibri"/>
              </w:rPr>
              <w:t>Outsourced manpower contracts: the relevant Contract Owner, with HR, Legal, Finance, and the operating/facility function as applicable.</w:t>
            </w:r>
          </w:p>
          <w:p w14:paraId="366B6618" w14:textId="1DCFC3DB" w:rsidR="00AF0F4A" w:rsidRDefault="00000000">
            <w:pPr>
              <w:pStyle w:val="ListParagraph"/>
              <w:numPr>
                <w:ilvl w:val="0"/>
                <w:numId w:val="2"/>
              </w:numPr>
              <w:spacing w:after="40"/>
              <w:jc w:val="both"/>
            </w:pPr>
            <w:r>
              <w:rPr>
                <w:rFonts w:ascii="Calibri" w:hAnsi="Calibri"/>
              </w:rPr>
              <w:t>IT, software, cloud, telecom, and technology</w:t>
            </w:r>
            <w:r w:rsidR="006A617A">
              <w:rPr>
                <w:rFonts w:ascii="Calibri" w:hAnsi="Calibri"/>
              </w:rPr>
              <w:t xml:space="preserve"> </w:t>
            </w:r>
            <w:r>
              <w:rPr>
                <w:rFonts w:ascii="Calibri" w:hAnsi="Calibri"/>
              </w:rPr>
              <w:t>service contracts: ITD / System or Contract Owner, with Legal and Finance as applicable.</w:t>
            </w:r>
          </w:p>
          <w:p w14:paraId="51388487" w14:textId="77777777" w:rsidR="00AF0F4A" w:rsidRDefault="00000000">
            <w:pPr>
              <w:pStyle w:val="ListParagraph"/>
              <w:numPr>
                <w:ilvl w:val="0"/>
                <w:numId w:val="2"/>
              </w:numPr>
              <w:spacing w:after="40"/>
              <w:jc w:val="both"/>
            </w:pPr>
            <w:r>
              <w:rPr>
                <w:rFonts w:ascii="Calibri" w:hAnsi="Calibri"/>
              </w:rPr>
              <w:t>Purchase orders or sourcing commitments within the Purchasing process: Purchasing with the requesting department and Finance; Legal where needed.</w:t>
            </w:r>
          </w:p>
          <w:p w14:paraId="004118C5" w14:textId="77777777" w:rsidR="00AF0F4A" w:rsidRDefault="00000000">
            <w:pPr>
              <w:spacing w:after="120"/>
              <w:jc w:val="both"/>
            </w:pPr>
            <w:r>
              <w:rPr>
                <w:rFonts w:ascii="Calibri" w:hAnsi="Calibri"/>
              </w:rPr>
              <w:t>Every contract must have one named SMSA Contract Owner. The Contract Owner must check the signed contract and amendments, complete the required notice/termination/transfer action, address deposits, guarantees, penalties, returns, data/access, and continuing obligations, and keep written evidence of the final status.</w:t>
            </w:r>
          </w:p>
          <w:p w14:paraId="5C5FFC5B" w14:textId="25761017" w:rsidR="00AF0F4A" w:rsidRDefault="00000000">
            <w:pPr>
              <w:spacing w:after="120"/>
              <w:jc w:val="both"/>
            </w:pPr>
            <w:r>
              <w:rPr>
                <w:rFonts w:ascii="Calibri" w:hAnsi="Calibri"/>
              </w:rPr>
              <w:t>Where a customer project or facility closes, related vendor and site</w:t>
            </w:r>
            <w:r w:rsidR="006A617A">
              <w:rPr>
                <w:rFonts w:ascii="Calibri" w:hAnsi="Calibri"/>
              </w:rPr>
              <w:t xml:space="preserve"> </w:t>
            </w:r>
            <w:r>
              <w:rPr>
                <w:rFonts w:ascii="Calibri" w:hAnsi="Calibri"/>
              </w:rPr>
              <w:t>service commitments must be reconciled to the customer</w:t>
            </w:r>
            <w:r w:rsidR="006A617A">
              <w:rPr>
                <w:rFonts w:ascii="Calibri" w:hAnsi="Calibri"/>
              </w:rPr>
              <w:t xml:space="preserve"> </w:t>
            </w:r>
            <w:r>
              <w:rPr>
                <w:rFonts w:ascii="Calibri" w:hAnsi="Calibri"/>
              </w:rPr>
              <w:t>revenue or site</w:t>
            </w:r>
            <w:r w:rsidR="006A617A">
              <w:rPr>
                <w:rFonts w:ascii="Calibri" w:hAnsi="Calibri"/>
              </w:rPr>
              <w:t xml:space="preserve"> </w:t>
            </w:r>
            <w:r>
              <w:rPr>
                <w:rFonts w:ascii="Calibri" w:hAnsi="Calibri"/>
              </w:rPr>
              <w:t>handover date so SMSA does not continue paying for services that are no longer required.</w:t>
            </w:r>
          </w:p>
          <w:p w14:paraId="69611124" w14:textId="77777777" w:rsidR="00AF0F4A" w:rsidRDefault="00000000">
            <w:pPr>
              <w:keepNext/>
              <w:spacing w:before="120" w:after="80"/>
              <w:jc w:val="both"/>
            </w:pPr>
            <w:r>
              <w:rPr>
                <w:rFonts w:ascii="Calibri" w:hAnsi="Calibri"/>
                <w:b/>
              </w:rPr>
              <w:t>8. Facilities and Physical / Site Handover</w:t>
            </w:r>
          </w:p>
          <w:p w14:paraId="4BDB7163" w14:textId="77777777" w:rsidR="00AF0F4A" w:rsidRDefault="00000000">
            <w:pPr>
              <w:spacing w:after="120"/>
              <w:jc w:val="both"/>
            </w:pPr>
            <w:r>
              <w:rPr>
                <w:rFonts w:ascii="Calibri" w:hAnsi="Calibri"/>
              </w:rPr>
              <w:t>Facilities / Administration is responsible for the facility/property closure route. It must review lease notice, handover date, restoration obligations, deposits/guarantees, utilities, site services, keys/access, signage, and other facility obligations, working with Legal and Finance where required.</w:t>
            </w:r>
          </w:p>
          <w:p w14:paraId="3C99BE9A" w14:textId="5BDF1D76" w:rsidR="00AF0F4A" w:rsidRDefault="00000000">
            <w:pPr>
              <w:pStyle w:val="ListParagraph"/>
              <w:numPr>
                <w:ilvl w:val="0"/>
                <w:numId w:val="2"/>
              </w:numPr>
              <w:spacing w:after="40"/>
              <w:jc w:val="both"/>
            </w:pPr>
            <w:r>
              <w:rPr>
                <w:rFonts w:ascii="Calibri" w:hAnsi="Calibri"/>
              </w:rPr>
              <w:t>Complete a documented landlord/owner/receiving</w:t>
            </w:r>
            <w:r w:rsidR="006A617A">
              <w:rPr>
                <w:rFonts w:ascii="Calibri" w:hAnsi="Calibri"/>
              </w:rPr>
              <w:t xml:space="preserve"> </w:t>
            </w:r>
            <w:r>
              <w:rPr>
                <w:rFonts w:ascii="Calibri" w:hAnsi="Calibri"/>
              </w:rPr>
              <w:t>party handover where applicable.</w:t>
            </w:r>
          </w:p>
          <w:p w14:paraId="7131F967" w14:textId="77777777" w:rsidR="00AF0F4A" w:rsidRDefault="00000000">
            <w:pPr>
              <w:pStyle w:val="ListParagraph"/>
              <w:numPr>
                <w:ilvl w:val="0"/>
                <w:numId w:val="2"/>
              </w:numPr>
              <w:spacing w:after="40"/>
              <w:jc w:val="both"/>
            </w:pPr>
            <w:r>
              <w:rPr>
                <w:rFonts w:ascii="Calibri" w:hAnsi="Calibri"/>
              </w:rPr>
              <w:t>Take dated condition photographs at final handover where practical.</w:t>
            </w:r>
          </w:p>
          <w:p w14:paraId="2539CDFE" w14:textId="3BAC027C" w:rsidR="00AF0F4A" w:rsidRDefault="00000000">
            <w:pPr>
              <w:pStyle w:val="ListParagraph"/>
              <w:numPr>
                <w:ilvl w:val="0"/>
                <w:numId w:val="2"/>
              </w:numPr>
              <w:spacing w:after="40"/>
              <w:jc w:val="both"/>
            </w:pPr>
            <w:r>
              <w:rPr>
                <w:rFonts w:ascii="Calibri" w:hAnsi="Calibri"/>
              </w:rPr>
              <w:t xml:space="preserve">Do not hand the location back while SMSA/customer property, records, shipments, evidence, or </w:t>
            </w:r>
            <w:r w:rsidR="006A617A">
              <w:rPr>
                <w:rFonts w:ascii="Calibri" w:hAnsi="Calibri"/>
              </w:rPr>
              <w:t>significant</w:t>
            </w:r>
            <w:r>
              <w:rPr>
                <w:rFonts w:ascii="Calibri" w:hAnsi="Calibri"/>
              </w:rPr>
              <w:t xml:space="preserve"> site obligations remain without an approved arrangement.</w:t>
            </w:r>
          </w:p>
          <w:p w14:paraId="35A06091" w14:textId="77777777" w:rsidR="00AF0F4A" w:rsidRDefault="00000000">
            <w:pPr>
              <w:keepNext/>
              <w:spacing w:before="120" w:after="80"/>
              <w:jc w:val="both"/>
            </w:pPr>
            <w:r>
              <w:rPr>
                <w:rFonts w:ascii="Calibri" w:hAnsi="Calibri"/>
                <w:b/>
              </w:rPr>
              <w:lastRenderedPageBreak/>
              <w:t>9. IT Systems, Access, Data and Technology</w:t>
            </w:r>
          </w:p>
          <w:p w14:paraId="64A5659A" w14:textId="77777777" w:rsidR="00AF0F4A" w:rsidRDefault="00000000">
            <w:pPr>
              <w:spacing w:after="120"/>
              <w:jc w:val="both"/>
            </w:pPr>
            <w:r>
              <w:rPr>
                <w:rFonts w:ascii="Calibri" w:hAnsi="Calibri"/>
              </w:rPr>
              <w:t>ITD must be informed early enough to close or transfer technology safely. Access must be reviewed when employment ends, a contract or supplier service ends, a user transfers location/role, or the business need ends.</w:t>
            </w:r>
          </w:p>
          <w:p w14:paraId="3837B75D" w14:textId="77777777" w:rsidR="00AF0F4A" w:rsidRDefault="00000000">
            <w:pPr>
              <w:pStyle w:val="ListParagraph"/>
              <w:numPr>
                <w:ilvl w:val="0"/>
                <w:numId w:val="2"/>
              </w:numPr>
              <w:spacing w:after="40"/>
              <w:jc w:val="both"/>
            </w:pPr>
            <w:r>
              <w:rPr>
                <w:rFonts w:ascii="Calibri" w:hAnsi="Calibri"/>
              </w:rPr>
              <w:t>Recover or transfer IT equipment and relevant devices.</w:t>
            </w:r>
          </w:p>
          <w:p w14:paraId="4C822C46" w14:textId="3D0ED3B2" w:rsidR="00AF0F4A" w:rsidRDefault="00000000">
            <w:pPr>
              <w:pStyle w:val="ListParagraph"/>
              <w:numPr>
                <w:ilvl w:val="0"/>
                <w:numId w:val="2"/>
              </w:numPr>
              <w:spacing w:after="40"/>
              <w:jc w:val="both"/>
            </w:pPr>
            <w:r>
              <w:rPr>
                <w:rFonts w:ascii="Calibri" w:hAnsi="Calibri"/>
              </w:rPr>
              <w:t>Review system, email, cloud, application, network, remote, privileged, shared, supplier, third</w:t>
            </w:r>
            <w:r w:rsidR="006A617A">
              <w:rPr>
                <w:rFonts w:ascii="Calibri" w:hAnsi="Calibri"/>
              </w:rPr>
              <w:t xml:space="preserve"> </w:t>
            </w:r>
            <w:r>
              <w:rPr>
                <w:rFonts w:ascii="Calibri" w:hAnsi="Calibri"/>
              </w:rPr>
              <w:t>party, and customer</w:t>
            </w:r>
            <w:r w:rsidR="006A617A">
              <w:rPr>
                <w:rFonts w:ascii="Calibri" w:hAnsi="Calibri"/>
              </w:rPr>
              <w:t xml:space="preserve"> </w:t>
            </w:r>
            <w:r>
              <w:rPr>
                <w:rFonts w:ascii="Calibri" w:hAnsi="Calibri"/>
              </w:rPr>
              <w:t>portal access.</w:t>
            </w:r>
          </w:p>
          <w:p w14:paraId="38E949D4" w14:textId="77777777" w:rsidR="00AF0F4A" w:rsidRDefault="00000000">
            <w:pPr>
              <w:pStyle w:val="ListParagraph"/>
              <w:numPr>
                <w:ilvl w:val="0"/>
                <w:numId w:val="2"/>
              </w:numPr>
              <w:spacing w:after="40"/>
              <w:jc w:val="both"/>
            </w:pPr>
            <w:r>
              <w:rPr>
                <w:rFonts w:ascii="Calibri" w:hAnsi="Calibri"/>
              </w:rPr>
              <w:t>Remove or change access that is no longer required and change shared/administrator credentials where appropriate.</w:t>
            </w:r>
          </w:p>
          <w:p w14:paraId="68C22008" w14:textId="77777777" w:rsidR="00AF0F4A" w:rsidRDefault="00000000">
            <w:pPr>
              <w:pStyle w:val="ListParagraph"/>
              <w:numPr>
                <w:ilvl w:val="0"/>
                <w:numId w:val="2"/>
              </w:numPr>
              <w:spacing w:after="40"/>
              <w:jc w:val="both"/>
            </w:pPr>
            <w:r>
              <w:rPr>
                <w:rFonts w:ascii="Calibri" w:hAnsi="Calibri"/>
              </w:rPr>
              <w:t>Transfer, back up, return, retain, or securely delete SMSA/customer information as required.</w:t>
            </w:r>
          </w:p>
          <w:p w14:paraId="7A53C0D3" w14:textId="77777777" w:rsidR="00AF0F4A" w:rsidRDefault="00000000">
            <w:pPr>
              <w:pStyle w:val="ListParagraph"/>
              <w:numPr>
                <w:ilvl w:val="0"/>
                <w:numId w:val="2"/>
              </w:numPr>
              <w:spacing w:after="40"/>
              <w:jc w:val="both"/>
            </w:pPr>
            <w:r>
              <w:rPr>
                <w:rFonts w:ascii="Calibri" w:hAnsi="Calibri"/>
              </w:rPr>
              <w:t xml:space="preserve">Cancel or transfer software </w:t>
            </w:r>
            <w:proofErr w:type="spellStart"/>
            <w:r>
              <w:rPr>
                <w:rFonts w:ascii="Calibri" w:hAnsi="Calibri"/>
              </w:rPr>
              <w:t>licences</w:t>
            </w:r>
            <w:proofErr w:type="spellEnd"/>
            <w:r>
              <w:rPr>
                <w:rFonts w:ascii="Calibri" w:hAnsi="Calibri"/>
              </w:rPr>
              <w:t>, telecom lines, internet services, and support arrangements.</w:t>
            </w:r>
          </w:p>
          <w:p w14:paraId="7A194A65" w14:textId="77777777" w:rsidR="00AF0F4A" w:rsidRDefault="00000000">
            <w:pPr>
              <w:pStyle w:val="ListParagraph"/>
              <w:numPr>
                <w:ilvl w:val="0"/>
                <w:numId w:val="2"/>
              </w:numPr>
              <w:spacing w:after="40"/>
              <w:jc w:val="both"/>
            </w:pPr>
            <w:r>
              <w:rPr>
                <w:rFonts w:ascii="Calibri" w:hAnsi="Calibri"/>
              </w:rPr>
              <w:t>Keep evidence of access removal, asset transfer, data action, and technical clearance.</w:t>
            </w:r>
          </w:p>
          <w:p w14:paraId="37480CB0" w14:textId="77777777" w:rsidR="00AF0F4A" w:rsidRDefault="00000000">
            <w:pPr>
              <w:keepNext/>
              <w:spacing w:before="120" w:after="80"/>
              <w:jc w:val="both"/>
            </w:pPr>
            <w:r>
              <w:rPr>
                <w:rFonts w:ascii="Calibri" w:hAnsi="Calibri"/>
                <w:b/>
              </w:rPr>
              <w:t>10. Safety, Security and Environmental Control</w:t>
            </w:r>
          </w:p>
          <w:p w14:paraId="621B897D" w14:textId="77777777" w:rsidR="00AF0F4A" w:rsidRDefault="00000000">
            <w:pPr>
              <w:pStyle w:val="ListParagraph"/>
              <w:numPr>
                <w:ilvl w:val="0"/>
                <w:numId w:val="2"/>
              </w:numPr>
              <w:spacing w:after="40"/>
              <w:jc w:val="both"/>
            </w:pPr>
            <w:r>
              <w:rPr>
                <w:rFonts w:ascii="Calibri" w:hAnsi="Calibri"/>
              </w:rPr>
              <w:t>Safety and Security controls must remain effective until physical handover is complete.</w:t>
            </w:r>
          </w:p>
          <w:p w14:paraId="55765A2C" w14:textId="77777777" w:rsidR="00AF0F4A" w:rsidRDefault="00000000">
            <w:pPr>
              <w:pStyle w:val="ListParagraph"/>
              <w:numPr>
                <w:ilvl w:val="0"/>
                <w:numId w:val="2"/>
              </w:numPr>
              <w:spacing w:after="40"/>
              <w:jc w:val="both"/>
            </w:pPr>
            <w:r>
              <w:rPr>
                <w:rFonts w:ascii="Calibri" w:hAnsi="Calibri"/>
              </w:rPr>
              <w:t>Dismantling, lifting, loading, transport, electrical isolation, contractor work, work at height, and equipment movement must follow applicable safety requirements.</w:t>
            </w:r>
          </w:p>
          <w:p w14:paraId="386E3B0D" w14:textId="77777777" w:rsidR="00AF0F4A" w:rsidRDefault="00000000">
            <w:pPr>
              <w:pStyle w:val="ListParagraph"/>
              <w:numPr>
                <w:ilvl w:val="0"/>
                <w:numId w:val="2"/>
              </w:numPr>
              <w:spacing w:after="40"/>
              <w:jc w:val="both"/>
            </w:pPr>
            <w:r>
              <w:rPr>
                <w:rFonts w:ascii="Calibri" w:hAnsi="Calibri"/>
              </w:rPr>
              <w:t>Reduced staffing must not leave doors, keys, access cards, alarms, valuable assets, customer shipments, or CCTV uncontrolled.</w:t>
            </w:r>
          </w:p>
          <w:p w14:paraId="77DC3F3B" w14:textId="23E4B565" w:rsidR="00AF0F4A" w:rsidRDefault="00000000">
            <w:pPr>
              <w:pStyle w:val="ListParagraph"/>
              <w:numPr>
                <w:ilvl w:val="0"/>
                <w:numId w:val="2"/>
              </w:numPr>
              <w:spacing w:after="40"/>
              <w:jc w:val="both"/>
            </w:pPr>
            <w:r>
              <w:rPr>
                <w:rFonts w:ascii="Calibri" w:hAnsi="Calibri"/>
              </w:rPr>
              <w:t>Fire/life</w:t>
            </w:r>
            <w:r w:rsidR="006A617A">
              <w:rPr>
                <w:rFonts w:ascii="Calibri" w:hAnsi="Calibri"/>
              </w:rPr>
              <w:t xml:space="preserve"> </w:t>
            </w:r>
            <w:r>
              <w:rPr>
                <w:rFonts w:ascii="Calibri" w:hAnsi="Calibri"/>
              </w:rPr>
              <w:t>safety controls must not be removed before they are no longer required and the handover permits removal.</w:t>
            </w:r>
          </w:p>
          <w:p w14:paraId="5772AEA5" w14:textId="29FBD4B9" w:rsidR="00AF0F4A" w:rsidRDefault="00000000">
            <w:pPr>
              <w:pStyle w:val="ListParagraph"/>
              <w:numPr>
                <w:ilvl w:val="0"/>
                <w:numId w:val="2"/>
              </w:numPr>
              <w:spacing w:after="40"/>
              <w:jc w:val="both"/>
            </w:pPr>
            <w:r>
              <w:rPr>
                <w:rFonts w:ascii="Calibri" w:hAnsi="Calibri"/>
              </w:rPr>
              <w:t>Waste, e</w:t>
            </w:r>
            <w:r w:rsidR="006A617A">
              <w:rPr>
                <w:rFonts w:ascii="Calibri" w:hAnsi="Calibri"/>
              </w:rPr>
              <w:t xml:space="preserve"> </w:t>
            </w:r>
            <w:r>
              <w:rPr>
                <w:rFonts w:ascii="Calibri" w:hAnsi="Calibri"/>
              </w:rPr>
              <w:t>waste, batteries, chemicals, refrigerants, fuel/oil, hazardous materials, and controlled items must be stored and disposed of safely and legally.</w:t>
            </w:r>
          </w:p>
          <w:p w14:paraId="65A2E5A7" w14:textId="77777777" w:rsidR="00AF0F4A" w:rsidRDefault="00000000">
            <w:pPr>
              <w:keepNext/>
              <w:spacing w:before="120" w:after="80"/>
              <w:jc w:val="both"/>
            </w:pPr>
            <w:r>
              <w:rPr>
                <w:rFonts w:ascii="Calibri" w:hAnsi="Calibri"/>
                <w:b/>
              </w:rPr>
              <w:t>11. Business Continuity and Receiving Location Readiness</w:t>
            </w:r>
          </w:p>
          <w:p w14:paraId="35511F38" w14:textId="77777777" w:rsidR="00AF0F4A" w:rsidRDefault="00000000">
            <w:pPr>
              <w:spacing w:after="120"/>
              <w:jc w:val="both"/>
            </w:pPr>
            <w:r>
              <w:rPr>
                <w:rFonts w:ascii="Calibri" w:hAnsi="Calibri"/>
              </w:rPr>
              <w:t>Where work is being moved rather than stopped, the receiving operation must be ready before the old operation closes. The Business Owner must confirm, where applicable, that manpower, capacity, routes, space, equipment, security, IT/connectivity, customer interfaces, custody/traceability, and stakeholder communication are ready. A fallback plan must exist where cutover could fail or be delayed.</w:t>
            </w:r>
          </w:p>
          <w:p w14:paraId="0427823C" w14:textId="77777777" w:rsidR="00AF0F4A" w:rsidRDefault="00000000">
            <w:pPr>
              <w:keepNext/>
              <w:spacing w:before="120" w:after="80"/>
              <w:jc w:val="both"/>
            </w:pPr>
            <w:r>
              <w:rPr>
                <w:rFonts w:ascii="Calibri" w:hAnsi="Calibri"/>
                <w:b/>
              </w:rPr>
              <w:t>12. Financial and Insurance Closure</w:t>
            </w:r>
          </w:p>
          <w:p w14:paraId="7ABBF7EF" w14:textId="77777777" w:rsidR="00AF0F4A" w:rsidRDefault="00000000">
            <w:pPr>
              <w:spacing w:after="120"/>
              <w:jc w:val="both"/>
            </w:pPr>
            <w:r>
              <w:rPr>
                <w:rFonts w:ascii="Calibri" w:hAnsi="Calibri"/>
              </w:rPr>
              <w:t>Finance / Insurance must review the demobilization before final closure. The review must address, where applicable, open POs/commitments, final invoices and accruals, claims and closure costs, deposits/guarantees/prepayments, cash/COD/advances, asset values and approved disposal entries, customer billing/recoveries, and other known financial obligations.</w:t>
            </w:r>
          </w:p>
          <w:p w14:paraId="18237840" w14:textId="77777777" w:rsidR="00AF0F4A" w:rsidRDefault="00000000">
            <w:pPr>
              <w:spacing w:after="120"/>
              <w:jc w:val="both"/>
            </w:pPr>
            <w:r>
              <w:rPr>
                <w:rFonts w:ascii="Calibri" w:hAnsi="Calibri"/>
              </w:rPr>
              <w:t>Finance / Insurance must also assess the effect of the closure, relocation, asset movement, or operating change on insurance. Required broker/insurer notifications, endorsements, transfers, cancellations, value changes, coverage continuity, premium impacts, and open claims must be recorded where applicable. Final closure must not create an uninsured exposure.</w:t>
            </w:r>
          </w:p>
          <w:p w14:paraId="23C8DC6F" w14:textId="77777777" w:rsidR="00AF0F4A" w:rsidRDefault="00000000">
            <w:pPr>
              <w:spacing w:after="120"/>
              <w:jc w:val="both"/>
            </w:pPr>
            <w:r>
              <w:rPr>
                <w:rFonts w:ascii="Calibri" w:hAnsi="Calibri"/>
              </w:rPr>
              <w:t>Any financial or insurance item that remains open after the Last Operating Date must have a named owner, action, and target date, with evidence retained where external confirmation is required.</w:t>
            </w:r>
          </w:p>
          <w:p w14:paraId="6BBD561A" w14:textId="77777777" w:rsidR="00AF0F4A" w:rsidRDefault="00000000">
            <w:pPr>
              <w:keepNext/>
              <w:spacing w:before="120" w:after="80"/>
              <w:jc w:val="both"/>
            </w:pPr>
            <w:r>
              <w:rPr>
                <w:rFonts w:ascii="Calibri" w:hAnsi="Calibri"/>
                <w:b/>
              </w:rPr>
              <w:lastRenderedPageBreak/>
              <w:t>13. Legal and Regulatory Closure</w:t>
            </w:r>
          </w:p>
          <w:p w14:paraId="599D2419" w14:textId="767252C1" w:rsidR="00AF0F4A" w:rsidRDefault="00000000">
            <w:pPr>
              <w:spacing w:after="120"/>
              <w:jc w:val="both"/>
            </w:pPr>
            <w:r>
              <w:rPr>
                <w:rFonts w:ascii="Calibri" w:hAnsi="Calibri"/>
              </w:rPr>
              <w:t xml:space="preserve">Legal must be involved where contract terms or risk require legal review, including early termination, disputes, penalties, waivers, claims, litigation, regulatory matters, government notifications, or other </w:t>
            </w:r>
            <w:r w:rsidR="006A617A">
              <w:rPr>
                <w:rFonts w:ascii="Calibri" w:hAnsi="Calibri"/>
              </w:rPr>
              <w:t>significant</w:t>
            </w:r>
            <w:r>
              <w:rPr>
                <w:rFonts w:ascii="Calibri" w:hAnsi="Calibri"/>
              </w:rPr>
              <w:t xml:space="preserve"> legal exposure. The responsible business function remains the Contract Owner or corrective</w:t>
            </w:r>
            <w:r w:rsidR="006A617A">
              <w:rPr>
                <w:rFonts w:ascii="Calibri" w:hAnsi="Calibri"/>
              </w:rPr>
              <w:t xml:space="preserve"> </w:t>
            </w:r>
            <w:r>
              <w:rPr>
                <w:rFonts w:ascii="Calibri" w:hAnsi="Calibri"/>
              </w:rPr>
              <w:t>action owner.</w:t>
            </w:r>
          </w:p>
          <w:p w14:paraId="7C7EA846" w14:textId="77777777" w:rsidR="00AF0F4A" w:rsidRDefault="00000000">
            <w:pPr>
              <w:spacing w:after="120"/>
              <w:jc w:val="both"/>
            </w:pPr>
            <w:r>
              <w:rPr>
                <w:rFonts w:ascii="Calibri" w:hAnsi="Calibri"/>
              </w:rPr>
              <w:t xml:space="preserve">Affected </w:t>
            </w:r>
            <w:proofErr w:type="spellStart"/>
            <w:r>
              <w:rPr>
                <w:rFonts w:ascii="Calibri" w:hAnsi="Calibri"/>
              </w:rPr>
              <w:t>licences</w:t>
            </w:r>
            <w:proofErr w:type="spellEnd"/>
            <w:r>
              <w:rPr>
                <w:rFonts w:ascii="Calibri" w:hAnsi="Calibri"/>
              </w:rPr>
              <w:t>, permits, registrations, approvals, regulator notices, inspection findings, penalties, open NCs, and corrective actions must be reviewed and recorded as cancelled, transferred, amended, renewed, retained, closed, or continuing, with the appropriate owner and evidence.</w:t>
            </w:r>
          </w:p>
          <w:p w14:paraId="220A736D" w14:textId="4086E1D1" w:rsidR="00AF0F4A" w:rsidRDefault="00000000">
            <w:pPr>
              <w:spacing w:after="120"/>
              <w:jc w:val="both"/>
            </w:pPr>
            <w:r>
              <w:rPr>
                <w:rFonts w:ascii="Calibri" w:hAnsi="Calibri"/>
              </w:rPr>
              <w:t xml:space="preserve">A regulator matter does not close </w:t>
            </w:r>
            <w:r w:rsidR="006C226A">
              <w:rPr>
                <w:rFonts w:ascii="Calibri" w:hAnsi="Calibri"/>
              </w:rPr>
              <w:t>when</w:t>
            </w:r>
            <w:r>
              <w:rPr>
                <w:rFonts w:ascii="Calibri" w:hAnsi="Calibri"/>
              </w:rPr>
              <w:t xml:space="preserve"> the site or project stops operating. Where formal surrender, transfer, amendment, inspection, clearance, or regulator confirmation is required, the action must be completed or an approved documented arrangement must be in place before final legal clearance. Any legal hold or evidence</w:t>
            </w:r>
            <w:r w:rsidR="006A617A">
              <w:rPr>
                <w:rFonts w:ascii="Calibri" w:hAnsi="Calibri"/>
              </w:rPr>
              <w:t xml:space="preserve"> </w:t>
            </w:r>
            <w:r>
              <w:rPr>
                <w:rFonts w:ascii="Calibri" w:hAnsi="Calibri"/>
              </w:rPr>
              <w:t>preservation instruction takes priority over normal destruction, return, auction, wiping, or disposal.</w:t>
            </w:r>
          </w:p>
          <w:p w14:paraId="05FAE8F4" w14:textId="77777777" w:rsidR="00AF0F4A" w:rsidRDefault="00000000">
            <w:pPr>
              <w:keepNext/>
              <w:spacing w:before="120" w:after="80"/>
              <w:jc w:val="both"/>
            </w:pPr>
            <w:r>
              <w:rPr>
                <w:rFonts w:ascii="Calibri" w:hAnsi="Calibri"/>
                <w:b/>
              </w:rPr>
              <w:t>14. Incident Reporting and Evidence Protection</w:t>
            </w:r>
          </w:p>
          <w:p w14:paraId="05C78FA4" w14:textId="6E3A4F88" w:rsidR="00AF0F4A" w:rsidRDefault="00000000">
            <w:pPr>
              <w:spacing w:after="120"/>
              <w:jc w:val="both"/>
            </w:pPr>
            <w:r>
              <w:rPr>
                <w:rFonts w:ascii="Calibri" w:hAnsi="Calibri"/>
              </w:rPr>
              <w:t xml:space="preserve">Any suspected incident, loss, shortage, theft/fraud, unauthorized asset action, unexplained financial discrepancy, safety/security issue, data/access issue, legal/regulatory event, or other reportable control failure identified during demobilization must be reported and managed under the current SMSA Incident Reporting and Investigation </w:t>
            </w:r>
            <w:r w:rsidR="006C226A">
              <w:rPr>
                <w:rFonts w:ascii="Calibri" w:hAnsi="Calibri"/>
              </w:rPr>
              <w:t>policy</w:t>
            </w:r>
            <w:r>
              <w:rPr>
                <w:rFonts w:ascii="Calibri" w:hAnsi="Calibri"/>
              </w:rPr>
              <w:t>. Demobilization must not be used to delay, conceal, downgrade, or close an incident.</w:t>
            </w:r>
          </w:p>
          <w:p w14:paraId="53DE467E" w14:textId="77777777" w:rsidR="00AF0F4A" w:rsidRDefault="00000000">
            <w:pPr>
              <w:spacing w:after="120"/>
              <w:jc w:val="both"/>
            </w:pPr>
            <w:r>
              <w:rPr>
                <w:rFonts w:ascii="Calibri" w:hAnsi="Calibri"/>
              </w:rPr>
              <w:t>Relevant evidence must be protected. This may include CCTV, access logs, system records, shipment scans, GPS records, emails, contracts, invoices, photographs, devices, physical items, and witness information. An open incident or investigation may continue after physical handover, and the assigned owner remains responsible until formal closure.</w:t>
            </w:r>
          </w:p>
          <w:p w14:paraId="1143274B" w14:textId="77777777" w:rsidR="00AF0F4A" w:rsidRDefault="00000000">
            <w:pPr>
              <w:keepNext/>
              <w:spacing w:before="120" w:after="80"/>
              <w:jc w:val="both"/>
            </w:pPr>
            <w:r>
              <w:rPr>
                <w:rFonts w:ascii="Calibri" w:hAnsi="Calibri"/>
                <w:b/>
              </w:rPr>
              <w:t>15. Required Functional Involvement and Clearance</w:t>
            </w:r>
          </w:p>
          <w:p w14:paraId="584721B7" w14:textId="068C979B" w:rsidR="00AF0F4A" w:rsidRDefault="00000000">
            <w:pPr>
              <w:spacing w:after="120"/>
              <w:jc w:val="both"/>
            </w:pPr>
            <w:r>
              <w:rPr>
                <w:rFonts w:ascii="Calibri" w:hAnsi="Calibri"/>
              </w:rPr>
              <w:t xml:space="preserve">The table below identifies the minimum functional involvement and evidence normally required. It is a coordination and clearance matrix, not a separate authority matrix. The current </w:t>
            </w:r>
            <w:r w:rsidR="006A617A">
              <w:rPr>
                <w:rFonts w:ascii="Calibri" w:hAnsi="Calibri"/>
              </w:rPr>
              <w:t>authority as per approved Org structure</w:t>
            </w:r>
            <w:r>
              <w:rPr>
                <w:rFonts w:ascii="Calibri" w:hAnsi="Calibri"/>
              </w:rPr>
              <w:t xml:space="preserve"> and applicable HR, Finance, Legal, Inventory, Contract Owner, and other approved </w:t>
            </w:r>
            <w:r w:rsidR="006C226A">
              <w:rPr>
                <w:rFonts w:ascii="Calibri" w:hAnsi="Calibri"/>
              </w:rPr>
              <w:t>governance policy (where available)</w:t>
            </w:r>
            <w:r>
              <w:rPr>
                <w:rFonts w:ascii="Calibri" w:hAnsi="Calibri"/>
              </w:rPr>
              <w:t xml:space="preserve"> who may approve each action.</w:t>
            </w:r>
          </w:p>
          <w:tbl>
            <w:tblPr>
              <w:tblStyle w:val="TableGrid"/>
              <w:tblW w:w="0" w:type="auto"/>
              <w:tblLook w:val="04A0" w:firstRow="1" w:lastRow="0" w:firstColumn="1" w:lastColumn="0" w:noHBand="0" w:noVBand="1"/>
            </w:tblPr>
            <w:tblGrid>
              <w:gridCol w:w="2691"/>
              <w:gridCol w:w="2344"/>
              <w:gridCol w:w="3379"/>
            </w:tblGrid>
            <w:tr w:rsidR="001B072F" w14:paraId="0C6CAD42" w14:textId="77777777">
              <w:tc>
                <w:tcPr>
                  <w:tcW w:w="2691" w:type="dxa"/>
                  <w:shd w:val="clear" w:color="auto" w:fill="D9D9D9"/>
                </w:tcPr>
                <w:p w14:paraId="3BE54F89" w14:textId="77777777" w:rsidR="001B072F" w:rsidRDefault="00000000">
                  <w:r>
                    <w:rPr>
                      <w:rFonts w:ascii="Calibri" w:hAnsi="Calibri"/>
                      <w:b/>
                    </w:rPr>
                    <w:t>Action</w:t>
                  </w:r>
                </w:p>
              </w:tc>
              <w:tc>
                <w:tcPr>
                  <w:tcW w:w="2344" w:type="dxa"/>
                  <w:shd w:val="clear" w:color="auto" w:fill="D9D9D9"/>
                </w:tcPr>
                <w:p w14:paraId="6728FD61" w14:textId="77777777" w:rsidR="001B072F" w:rsidRDefault="00000000">
                  <w:r>
                    <w:rPr>
                      <w:rFonts w:ascii="Calibri" w:hAnsi="Calibri"/>
                      <w:b/>
                    </w:rPr>
                    <w:t>Required Functional Involvement / Clearance</w:t>
                  </w:r>
                </w:p>
              </w:tc>
              <w:tc>
                <w:tcPr>
                  <w:tcW w:w="3379" w:type="dxa"/>
                  <w:shd w:val="clear" w:color="auto" w:fill="D9D9D9"/>
                </w:tcPr>
                <w:p w14:paraId="2A8D5E70" w14:textId="77777777" w:rsidR="001B072F" w:rsidRDefault="00000000">
                  <w:r>
                    <w:rPr>
                      <w:rFonts w:ascii="Calibri" w:hAnsi="Calibri"/>
                      <w:b/>
                    </w:rPr>
                    <w:t>Required Evidence / Note</w:t>
                  </w:r>
                </w:p>
              </w:tc>
            </w:tr>
            <w:tr w:rsidR="001B072F" w14:paraId="19801B9A" w14:textId="77777777">
              <w:tc>
                <w:tcPr>
                  <w:tcW w:w="2691" w:type="dxa"/>
                </w:tcPr>
                <w:p w14:paraId="403F63CA" w14:textId="77777777" w:rsidR="001B072F" w:rsidRDefault="00000000">
                  <w:r>
                    <w:rPr>
                      <w:rFonts w:ascii="Calibri" w:hAnsi="Calibri"/>
                    </w:rPr>
                    <w:t>Start Major Demobilization</w:t>
                  </w:r>
                </w:p>
              </w:tc>
              <w:tc>
                <w:tcPr>
                  <w:tcW w:w="2344" w:type="dxa"/>
                </w:tcPr>
                <w:p w14:paraId="5AE419AB" w14:textId="77777777" w:rsidR="001B072F" w:rsidRDefault="00000000">
                  <w:r>
                    <w:rPr>
                      <w:rFonts w:ascii="Calibri" w:hAnsi="Calibri"/>
                    </w:rPr>
                    <w:t>Business / Project Owner + applicable Function/Regional Head</w:t>
                  </w:r>
                </w:p>
              </w:tc>
              <w:tc>
                <w:tcPr>
                  <w:tcW w:w="3379" w:type="dxa"/>
                </w:tcPr>
                <w:p w14:paraId="7BB9946D" w14:textId="07F3ABEB" w:rsidR="001B072F" w:rsidRDefault="00000000">
                  <w:r>
                    <w:rPr>
                      <w:rFonts w:ascii="Calibri" w:hAnsi="Calibri"/>
                    </w:rPr>
                    <w:t xml:space="preserve">Approved initiation/plan; approval under current </w:t>
                  </w:r>
                  <w:r w:rsidR="006A617A">
                    <w:rPr>
                      <w:rFonts w:ascii="Calibri" w:hAnsi="Calibri"/>
                    </w:rPr>
                    <w:t>authority as per approved Org structure</w:t>
                  </w:r>
                  <w:r>
                    <w:rPr>
                      <w:rFonts w:ascii="Calibri" w:hAnsi="Calibri"/>
                    </w:rPr>
                    <w:t>.</w:t>
                  </w:r>
                </w:p>
              </w:tc>
            </w:tr>
            <w:tr w:rsidR="001B072F" w14:paraId="76CB5B1E" w14:textId="77777777">
              <w:tc>
                <w:tcPr>
                  <w:tcW w:w="2691" w:type="dxa"/>
                </w:tcPr>
                <w:p w14:paraId="62AF9C1D" w14:textId="77777777" w:rsidR="001B072F" w:rsidRDefault="00000000">
                  <w:r>
                    <w:rPr>
                      <w:rFonts w:ascii="Calibri" w:hAnsi="Calibri"/>
                    </w:rPr>
                    <w:t>SMSA employee action</w:t>
                  </w:r>
                </w:p>
              </w:tc>
              <w:tc>
                <w:tcPr>
                  <w:tcW w:w="2344" w:type="dxa"/>
                </w:tcPr>
                <w:p w14:paraId="0604F515" w14:textId="77777777" w:rsidR="001B072F" w:rsidRDefault="00000000">
                  <w:r>
                    <w:rPr>
                      <w:rFonts w:ascii="Calibri" w:hAnsi="Calibri"/>
                    </w:rPr>
                    <w:t>HR + Business / receiving manager as applicable</w:t>
                  </w:r>
                </w:p>
              </w:tc>
              <w:tc>
                <w:tcPr>
                  <w:tcW w:w="3379" w:type="dxa"/>
                </w:tcPr>
                <w:p w14:paraId="073AD35D" w14:textId="77777777" w:rsidR="001B072F" w:rsidRDefault="00000000">
                  <w:r>
                    <w:rPr>
                      <w:rFonts w:ascii="Calibri" w:hAnsi="Calibri"/>
                    </w:rPr>
                    <w:t>Approved HR transfer, reassignment, separation, or clearance record.</w:t>
                  </w:r>
                </w:p>
              </w:tc>
            </w:tr>
            <w:tr w:rsidR="001B072F" w14:paraId="5AB3782E" w14:textId="77777777">
              <w:tc>
                <w:tcPr>
                  <w:tcW w:w="2691" w:type="dxa"/>
                </w:tcPr>
                <w:p w14:paraId="727380E9" w14:textId="77777777" w:rsidR="001B072F" w:rsidRDefault="00000000">
                  <w:r>
                    <w:rPr>
                      <w:rFonts w:ascii="Calibri" w:hAnsi="Calibri"/>
                    </w:rPr>
                    <w:t>Customer / operational contract exit</w:t>
                  </w:r>
                </w:p>
              </w:tc>
              <w:tc>
                <w:tcPr>
                  <w:tcW w:w="2344" w:type="dxa"/>
                </w:tcPr>
                <w:p w14:paraId="542563F4" w14:textId="77777777" w:rsidR="001B072F" w:rsidRDefault="00000000">
                  <w:r>
                    <w:rPr>
                      <w:rFonts w:ascii="Calibri" w:hAnsi="Calibri"/>
                    </w:rPr>
                    <w:t xml:space="preserve">Named Contract Owner + Sales / Operations + Legal / Finance as </w:t>
                  </w:r>
                  <w:r>
                    <w:rPr>
                      <w:rFonts w:ascii="Calibri" w:hAnsi="Calibri"/>
                    </w:rPr>
                    <w:lastRenderedPageBreak/>
                    <w:t>applicable</w:t>
                  </w:r>
                </w:p>
              </w:tc>
              <w:tc>
                <w:tcPr>
                  <w:tcW w:w="3379" w:type="dxa"/>
                </w:tcPr>
                <w:p w14:paraId="3978647A" w14:textId="4DE5D53E" w:rsidR="001B072F" w:rsidRDefault="00000000">
                  <w:r>
                    <w:rPr>
                      <w:rFonts w:ascii="Calibri" w:hAnsi="Calibri"/>
                    </w:rPr>
                    <w:lastRenderedPageBreak/>
                    <w:t>Written cancellation, transfer, amendment, or continuing</w:t>
                  </w:r>
                  <w:r w:rsidR="006A617A">
                    <w:rPr>
                      <w:rFonts w:ascii="Calibri" w:hAnsi="Calibri"/>
                    </w:rPr>
                    <w:t xml:space="preserve"> </w:t>
                  </w:r>
                  <w:r>
                    <w:rPr>
                      <w:rFonts w:ascii="Calibri" w:hAnsi="Calibri"/>
                    </w:rPr>
                    <w:t xml:space="preserve">ownership evidence; obligations </w:t>
                  </w:r>
                  <w:r>
                    <w:rPr>
                      <w:rFonts w:ascii="Calibri" w:hAnsi="Calibri"/>
                    </w:rPr>
                    <w:lastRenderedPageBreak/>
                    <w:t>reconciled.</w:t>
                  </w:r>
                </w:p>
              </w:tc>
            </w:tr>
            <w:tr w:rsidR="001B072F" w14:paraId="45F8FC22" w14:textId="77777777">
              <w:tc>
                <w:tcPr>
                  <w:tcW w:w="2691" w:type="dxa"/>
                </w:tcPr>
                <w:p w14:paraId="32167113" w14:textId="77777777" w:rsidR="001B072F" w:rsidRDefault="00000000">
                  <w:r>
                    <w:rPr>
                      <w:rFonts w:ascii="Calibri" w:hAnsi="Calibri"/>
                    </w:rPr>
                    <w:lastRenderedPageBreak/>
                    <w:t>Facility / lease / site exit</w:t>
                  </w:r>
                </w:p>
              </w:tc>
              <w:tc>
                <w:tcPr>
                  <w:tcW w:w="2344" w:type="dxa"/>
                </w:tcPr>
                <w:p w14:paraId="21FCC31E" w14:textId="77777777" w:rsidR="001B072F" w:rsidRDefault="00000000">
                  <w:r>
                    <w:rPr>
                      <w:rFonts w:ascii="Calibri" w:hAnsi="Calibri"/>
                    </w:rPr>
                    <w:t>Facilities / Administration + Contract Owner + Legal / Finance as applicable</w:t>
                  </w:r>
                </w:p>
              </w:tc>
              <w:tc>
                <w:tcPr>
                  <w:tcW w:w="3379" w:type="dxa"/>
                </w:tcPr>
                <w:p w14:paraId="78D607DF" w14:textId="7F1EC7D9" w:rsidR="001B072F" w:rsidRDefault="00000000">
                  <w:r>
                    <w:rPr>
                      <w:rFonts w:ascii="Calibri" w:hAnsi="Calibri"/>
                    </w:rPr>
                    <w:t>Notice and site handover; deposit/penalty/continuing</w:t>
                  </w:r>
                  <w:r w:rsidR="006A617A">
                    <w:rPr>
                      <w:rFonts w:ascii="Calibri" w:hAnsi="Calibri"/>
                    </w:rPr>
                    <w:t xml:space="preserve"> </w:t>
                  </w:r>
                  <w:r>
                    <w:rPr>
                      <w:rFonts w:ascii="Calibri" w:hAnsi="Calibri"/>
                    </w:rPr>
                    <w:t>obligation position.</w:t>
                  </w:r>
                </w:p>
              </w:tc>
            </w:tr>
            <w:tr w:rsidR="001B072F" w14:paraId="084648E7" w14:textId="77777777">
              <w:tc>
                <w:tcPr>
                  <w:tcW w:w="2691" w:type="dxa"/>
                </w:tcPr>
                <w:p w14:paraId="7BED8395" w14:textId="77777777" w:rsidR="001B072F" w:rsidRDefault="00000000">
                  <w:r>
                    <w:rPr>
                      <w:rFonts w:ascii="Calibri" w:hAnsi="Calibri"/>
                    </w:rPr>
                    <w:t>Asset / equipment movement or return</w:t>
                  </w:r>
                </w:p>
              </w:tc>
              <w:tc>
                <w:tcPr>
                  <w:tcW w:w="2344" w:type="dxa"/>
                </w:tcPr>
                <w:p w14:paraId="61DDE629" w14:textId="77777777" w:rsidR="001B072F" w:rsidRDefault="00000000">
                  <w:r>
                    <w:rPr>
                      <w:rFonts w:ascii="Calibri" w:hAnsi="Calibri"/>
                    </w:rPr>
                    <w:t>Inventory + Asset Custodian / technical owner + receiving party or legal owner as applicable</w:t>
                  </w:r>
                </w:p>
              </w:tc>
              <w:tc>
                <w:tcPr>
                  <w:tcW w:w="3379" w:type="dxa"/>
                </w:tcPr>
                <w:p w14:paraId="18D396A0" w14:textId="77777777" w:rsidR="001B072F" w:rsidRDefault="00000000">
                  <w:r>
                    <w:rPr>
                      <w:rFonts w:ascii="Calibri" w:hAnsi="Calibri"/>
                    </w:rPr>
                    <w:t>Movement, receipt, return, auction, or approved disposal evidence; register update.</w:t>
                  </w:r>
                </w:p>
              </w:tc>
            </w:tr>
            <w:tr w:rsidR="001B072F" w14:paraId="6D11CEB3" w14:textId="77777777">
              <w:tc>
                <w:tcPr>
                  <w:tcW w:w="2691" w:type="dxa"/>
                </w:tcPr>
                <w:p w14:paraId="0B67720E" w14:textId="77777777" w:rsidR="001B072F" w:rsidRDefault="00000000">
                  <w:r>
                    <w:rPr>
                      <w:rFonts w:ascii="Calibri" w:hAnsi="Calibri"/>
                    </w:rPr>
                    <w:t>System / access / data closure</w:t>
                  </w:r>
                </w:p>
              </w:tc>
              <w:tc>
                <w:tcPr>
                  <w:tcW w:w="2344" w:type="dxa"/>
                </w:tcPr>
                <w:p w14:paraId="1A8F360A" w14:textId="77777777" w:rsidR="001B072F" w:rsidRDefault="00000000">
                  <w:r>
                    <w:rPr>
                      <w:rFonts w:ascii="Calibri" w:hAnsi="Calibri"/>
                    </w:rPr>
                    <w:t>ITD / System Owner + Business Owner; HR trigger where relevant</w:t>
                  </w:r>
                </w:p>
              </w:tc>
              <w:tc>
                <w:tcPr>
                  <w:tcW w:w="3379" w:type="dxa"/>
                </w:tcPr>
                <w:p w14:paraId="0318E4E5" w14:textId="77777777" w:rsidR="001B072F" w:rsidRDefault="00000000">
                  <w:r>
                    <w:rPr>
                      <w:rFonts w:ascii="Calibri" w:hAnsi="Calibri"/>
                    </w:rPr>
                    <w:t>Access removal/change and asset/data/licence clearance evidence.</w:t>
                  </w:r>
                </w:p>
              </w:tc>
            </w:tr>
            <w:tr w:rsidR="001B072F" w14:paraId="19D417AA" w14:textId="77777777">
              <w:tc>
                <w:tcPr>
                  <w:tcW w:w="2691" w:type="dxa"/>
                </w:tcPr>
                <w:p w14:paraId="5F339AFE" w14:textId="77777777" w:rsidR="001B072F" w:rsidRDefault="00000000">
                  <w:r>
                    <w:rPr>
                      <w:rFonts w:ascii="Calibri" w:hAnsi="Calibri"/>
                    </w:rPr>
                    <w:t>Finance / insurance clearance</w:t>
                  </w:r>
                </w:p>
              </w:tc>
              <w:tc>
                <w:tcPr>
                  <w:tcW w:w="2344" w:type="dxa"/>
                </w:tcPr>
                <w:p w14:paraId="59CDFDAE" w14:textId="77777777" w:rsidR="001B072F" w:rsidRDefault="00000000">
                  <w:r>
                    <w:rPr>
                      <w:rFonts w:ascii="Calibri" w:hAnsi="Calibri"/>
                    </w:rPr>
                    <w:t>Finance / Insurance + Business / Project Owner</w:t>
                  </w:r>
                </w:p>
              </w:tc>
              <w:tc>
                <w:tcPr>
                  <w:tcW w:w="3379" w:type="dxa"/>
                </w:tcPr>
                <w:p w14:paraId="4E89DC45" w14:textId="77777777" w:rsidR="001B072F" w:rsidRDefault="00000000">
                  <w:r>
                    <w:rPr>
                      <w:rFonts w:ascii="Calibri" w:hAnsi="Calibri"/>
                    </w:rPr>
                    <w:t>Financial close status and broker/insurer evidence where required; no uninsured exposure.</w:t>
                  </w:r>
                </w:p>
              </w:tc>
            </w:tr>
            <w:tr w:rsidR="001B072F" w14:paraId="0F293C26" w14:textId="77777777">
              <w:tc>
                <w:tcPr>
                  <w:tcW w:w="2691" w:type="dxa"/>
                </w:tcPr>
                <w:p w14:paraId="789C8B01" w14:textId="77777777" w:rsidR="001B072F" w:rsidRDefault="00000000">
                  <w:r>
                    <w:rPr>
                      <w:rFonts w:ascii="Calibri" w:hAnsi="Calibri"/>
                    </w:rPr>
                    <w:t>Legal / regulatory clearance</w:t>
                  </w:r>
                </w:p>
              </w:tc>
              <w:tc>
                <w:tcPr>
                  <w:tcW w:w="2344" w:type="dxa"/>
                </w:tcPr>
                <w:p w14:paraId="288D92AF" w14:textId="77777777" w:rsidR="001B072F" w:rsidRDefault="00000000">
                  <w:r>
                    <w:rPr>
                      <w:rFonts w:ascii="Calibri" w:hAnsi="Calibri"/>
                    </w:rPr>
                    <w:t>Legal + relevant Business / Functional Owner</w:t>
                  </w:r>
                </w:p>
              </w:tc>
              <w:tc>
                <w:tcPr>
                  <w:tcW w:w="3379" w:type="dxa"/>
                </w:tcPr>
                <w:p w14:paraId="5A411E03" w14:textId="3E732F1E" w:rsidR="001B072F" w:rsidRDefault="00000000">
                  <w:r>
                    <w:rPr>
                      <w:rFonts w:ascii="Calibri" w:hAnsi="Calibri"/>
                    </w:rPr>
                    <w:t>Licence/permit/regulator status, notices/correspondence, open</w:t>
                  </w:r>
                  <w:r w:rsidR="006A617A">
                    <w:rPr>
                      <w:rFonts w:ascii="Calibri" w:hAnsi="Calibri"/>
                    </w:rPr>
                    <w:t xml:space="preserve"> </w:t>
                  </w:r>
                  <w:r>
                    <w:rPr>
                      <w:rFonts w:ascii="Calibri" w:hAnsi="Calibri"/>
                    </w:rPr>
                    <w:t>action owner and evidence where required.</w:t>
                  </w:r>
                </w:p>
              </w:tc>
            </w:tr>
            <w:tr w:rsidR="001B072F" w14:paraId="687C1F63" w14:textId="77777777">
              <w:tc>
                <w:tcPr>
                  <w:tcW w:w="2691" w:type="dxa"/>
                </w:tcPr>
                <w:p w14:paraId="3BF5363A" w14:textId="77777777" w:rsidR="001B072F" w:rsidRDefault="00000000">
                  <w:r>
                    <w:rPr>
                      <w:rFonts w:ascii="Calibri" w:hAnsi="Calibri"/>
                    </w:rPr>
                    <w:t>Final Demobilization</w:t>
                  </w:r>
                </w:p>
              </w:tc>
              <w:tc>
                <w:tcPr>
                  <w:tcW w:w="2344" w:type="dxa"/>
                </w:tcPr>
                <w:p w14:paraId="492E204B" w14:textId="77777777" w:rsidR="001B072F" w:rsidRDefault="00000000">
                  <w:r>
                    <w:rPr>
                      <w:rFonts w:ascii="Calibri" w:hAnsi="Calibri"/>
                    </w:rPr>
                    <w:t>Business / Project Owner + all functions recorded as required in the plan/checklist</w:t>
                  </w:r>
                </w:p>
              </w:tc>
              <w:tc>
                <w:tcPr>
                  <w:tcW w:w="3379" w:type="dxa"/>
                </w:tcPr>
                <w:p w14:paraId="0999B331" w14:textId="74AC5D4A" w:rsidR="001B072F" w:rsidRDefault="00000000">
                  <w:r>
                    <w:rPr>
                      <w:rFonts w:ascii="Calibri" w:hAnsi="Calibri"/>
                    </w:rPr>
                    <w:t>Final sign</w:t>
                  </w:r>
                  <w:r w:rsidR="006A617A">
                    <w:rPr>
                      <w:rFonts w:ascii="Calibri" w:hAnsi="Calibri"/>
                    </w:rPr>
                    <w:t xml:space="preserve"> </w:t>
                  </w:r>
                  <w:r>
                    <w:rPr>
                      <w:rFonts w:ascii="Calibri" w:hAnsi="Calibri"/>
                    </w:rPr>
                    <w:t xml:space="preserve">off under current </w:t>
                  </w:r>
                  <w:r w:rsidR="006A617A">
                    <w:rPr>
                      <w:rFonts w:ascii="Calibri" w:hAnsi="Calibri"/>
                    </w:rPr>
                    <w:t>authority as per approved Org structure</w:t>
                  </w:r>
                  <w:r>
                    <w:rPr>
                      <w:rFonts w:ascii="Calibri" w:hAnsi="Calibri"/>
                    </w:rPr>
                    <w:t>. Any outstanding item must have an approved owner, action, target date, and risk position.</w:t>
                  </w:r>
                </w:p>
              </w:tc>
            </w:tr>
          </w:tbl>
          <w:p w14:paraId="7CCD08D4" w14:textId="77777777" w:rsidR="00AF0F4A" w:rsidRDefault="00000000">
            <w:pPr>
              <w:keepNext/>
              <w:spacing w:before="120" w:after="80"/>
              <w:jc w:val="both"/>
            </w:pPr>
            <w:r>
              <w:rPr>
                <w:rFonts w:ascii="Calibri" w:hAnsi="Calibri"/>
                <w:b/>
              </w:rPr>
              <w:t>16. Final Physical Inspection and Final Closure</w:t>
            </w:r>
          </w:p>
          <w:p w14:paraId="60D8B47C" w14:textId="03630C1A" w:rsidR="00AF0F4A" w:rsidRDefault="00000000">
            <w:pPr>
              <w:spacing w:after="120"/>
              <w:jc w:val="both"/>
            </w:pPr>
            <w:r>
              <w:rPr>
                <w:rFonts w:ascii="Calibri" w:hAnsi="Calibri"/>
              </w:rPr>
              <w:t>For a physical site, the Demobilization Lead must arrange a final inspection before handover. The inspection must confirm, as applicable, that assets and customer property are accounted for, confidential records and investigation evidence are protected, IT/security/access responsibilities are closed or transferred, waste and controlled materials are dealt with properly, utilities/site services are closed or transferred, and the landlord/owner/receiving</w:t>
            </w:r>
            <w:r w:rsidR="006A617A">
              <w:rPr>
                <w:rFonts w:ascii="Calibri" w:hAnsi="Calibri"/>
              </w:rPr>
              <w:t xml:space="preserve"> </w:t>
            </w:r>
            <w:r>
              <w:rPr>
                <w:rFonts w:ascii="Calibri" w:hAnsi="Calibri"/>
              </w:rPr>
              <w:t>party handover is complete. Photographs and supporting evidence should be retained where appropriate.</w:t>
            </w:r>
          </w:p>
          <w:p w14:paraId="7490E278" w14:textId="4AA459BB" w:rsidR="00AF0F4A" w:rsidRDefault="00000000">
            <w:pPr>
              <w:spacing w:after="120"/>
              <w:jc w:val="both"/>
            </w:pPr>
            <w:r>
              <w:rPr>
                <w:rFonts w:ascii="Calibri" w:hAnsi="Calibri"/>
              </w:rPr>
              <w:t>The operation may be declared finally demobilized only after all functions identified as required in the plan or checklist have provided clearance and the final sign</w:t>
            </w:r>
            <w:r w:rsidR="006A617A">
              <w:rPr>
                <w:rFonts w:ascii="Calibri" w:hAnsi="Calibri"/>
              </w:rPr>
              <w:t xml:space="preserve"> </w:t>
            </w:r>
            <w:r>
              <w:rPr>
                <w:rFonts w:ascii="Calibri" w:hAnsi="Calibri"/>
              </w:rPr>
              <w:t xml:space="preserve">off is approved under the current </w:t>
            </w:r>
            <w:r w:rsidR="006A617A">
              <w:rPr>
                <w:rFonts w:ascii="Calibri" w:hAnsi="Calibri"/>
              </w:rPr>
              <w:t>authority as per approved Org structure</w:t>
            </w:r>
            <w:r>
              <w:rPr>
                <w:rFonts w:ascii="Calibri" w:hAnsi="Calibri"/>
              </w:rPr>
              <w:t>.</w:t>
            </w:r>
          </w:p>
          <w:p w14:paraId="754D053C" w14:textId="43FBF1F4" w:rsidR="00AF0F4A" w:rsidRDefault="00000000">
            <w:pPr>
              <w:spacing w:after="120"/>
              <w:jc w:val="both"/>
            </w:pPr>
            <w:r>
              <w:rPr>
                <w:rFonts w:ascii="Calibri" w:hAnsi="Calibri"/>
              </w:rPr>
              <w:t xml:space="preserve">An outstanding item may remain after the Last Operating Date or Physical / Site Handover only if it has a named owner, clear action, target date, financial impact where known, and accepted risk position. Final closure must not be approved while an unacceptable High risk, unaccounted customer property/cash, unexplained </w:t>
            </w:r>
            <w:r w:rsidR="006A617A">
              <w:rPr>
                <w:rFonts w:ascii="Calibri" w:hAnsi="Calibri"/>
              </w:rPr>
              <w:t>significant</w:t>
            </w:r>
            <w:r>
              <w:rPr>
                <w:rFonts w:ascii="Calibri" w:hAnsi="Calibri"/>
              </w:rPr>
              <w:t xml:space="preserve"> asset shortage, uninsured exposure, or regulator matter requiring immediate action remains uncontrolled.</w:t>
            </w:r>
          </w:p>
          <w:p w14:paraId="26CEC184" w14:textId="77777777" w:rsidR="00AF0F4A" w:rsidRDefault="00000000">
            <w:pPr>
              <w:keepNext/>
              <w:spacing w:before="120" w:after="80"/>
              <w:jc w:val="both"/>
            </w:pPr>
            <w:r>
              <w:rPr>
                <w:rFonts w:ascii="Calibri" w:hAnsi="Calibri"/>
                <w:b/>
              </w:rPr>
              <w:t>17. Risk Closure, Records and Evidence</w:t>
            </w:r>
          </w:p>
          <w:p w14:paraId="64E29C06" w14:textId="77777777" w:rsidR="00AF0F4A" w:rsidRDefault="00000000">
            <w:pPr>
              <w:spacing w:after="120"/>
              <w:jc w:val="both"/>
            </w:pPr>
            <w:r>
              <w:rPr>
                <w:rFonts w:ascii="Calibri" w:hAnsi="Calibri"/>
              </w:rPr>
              <w:t xml:space="preserve">A risk must not be removed from the Risk Register only because the old site or project closed. </w:t>
            </w:r>
            <w:r>
              <w:rPr>
                <w:rFonts w:ascii="Calibri" w:hAnsi="Calibri"/>
              </w:rPr>
              <w:lastRenderedPageBreak/>
              <w:t>The Risk Owner must confirm whether the risk ended, reduced, transferred, remains open, or was formally accepted. Where it transfers, the receiving owner and review date must be recorded.</w:t>
            </w:r>
          </w:p>
          <w:p w14:paraId="64887F6C" w14:textId="25127EDA" w:rsidR="00AF0F4A" w:rsidRDefault="00000000">
            <w:pPr>
              <w:spacing w:after="120"/>
              <w:jc w:val="both"/>
            </w:pPr>
            <w:r>
              <w:rPr>
                <w:rFonts w:ascii="Calibri" w:hAnsi="Calibri"/>
              </w:rPr>
              <w:t xml:space="preserve">The Demobilization Lead must maintain a closure file </w:t>
            </w:r>
            <w:r w:rsidR="006C226A">
              <w:rPr>
                <w:rFonts w:ascii="Calibri" w:hAnsi="Calibri"/>
              </w:rPr>
              <w:t>according</w:t>
            </w:r>
            <w:r>
              <w:rPr>
                <w:rFonts w:ascii="Calibri" w:hAnsi="Calibri"/>
              </w:rPr>
              <w:t xml:space="preserve"> to the scope. It should contain the approved initiation/plan or checklist, risk record, people/manpower evidence, asset and customer</w:t>
            </w:r>
            <w:r w:rsidR="006A617A">
              <w:rPr>
                <w:rFonts w:ascii="Calibri" w:hAnsi="Calibri"/>
              </w:rPr>
              <w:t xml:space="preserve"> </w:t>
            </w:r>
            <w:r>
              <w:rPr>
                <w:rFonts w:ascii="Calibri" w:hAnsi="Calibri"/>
              </w:rPr>
              <w:t>property reconciliation, contract/site/IT/financial/legal clearances, relevant incident/investigation records, and the final sign</w:t>
            </w:r>
            <w:r w:rsidR="006A617A">
              <w:rPr>
                <w:rFonts w:ascii="Calibri" w:hAnsi="Calibri"/>
              </w:rPr>
              <w:t xml:space="preserve"> </w:t>
            </w:r>
            <w:r>
              <w:rPr>
                <w:rFonts w:ascii="Calibri" w:hAnsi="Calibri"/>
              </w:rPr>
              <w:t>off. Supporting trackers and specialist records remain with the responsible functions under SMSA records</w:t>
            </w:r>
            <w:r w:rsidR="006A617A">
              <w:rPr>
                <w:rFonts w:ascii="Calibri" w:hAnsi="Calibri"/>
              </w:rPr>
              <w:t xml:space="preserve"> </w:t>
            </w:r>
            <w:r>
              <w:rPr>
                <w:rFonts w:ascii="Calibri" w:hAnsi="Calibri"/>
              </w:rPr>
              <w:t xml:space="preserve">retention </w:t>
            </w:r>
            <w:r w:rsidR="006C226A">
              <w:rPr>
                <w:rFonts w:ascii="Calibri" w:hAnsi="Calibri"/>
              </w:rPr>
              <w:t>policy</w:t>
            </w:r>
            <w:r>
              <w:rPr>
                <w:rFonts w:ascii="Calibri" w:hAnsi="Calibri"/>
              </w:rPr>
              <w:t>.</w:t>
            </w:r>
          </w:p>
          <w:p w14:paraId="638D4BFE" w14:textId="77777777" w:rsidR="00AF0F4A" w:rsidRDefault="00000000">
            <w:pPr>
              <w:spacing w:after="120"/>
              <w:jc w:val="both"/>
              <w:rPr>
                <w:rFonts w:ascii="Calibri" w:hAnsi="Calibri"/>
              </w:rPr>
            </w:pPr>
            <w:r>
              <w:rPr>
                <w:rFonts w:ascii="Calibri" w:hAnsi="Calibri"/>
              </w:rPr>
              <w:t>Records connected to an open investigation, legal matter, insurance claim, regulatory issue, or audit must not be destroyed until the responsible function confirms they may be released.</w:t>
            </w:r>
          </w:p>
          <w:p w14:paraId="6D51975C" w14:textId="6CE5F729" w:rsidR="005D6A4A" w:rsidRDefault="005D6A4A" w:rsidP="005D6A4A">
            <w:pPr>
              <w:spacing w:after="120"/>
              <w:jc w:val="both"/>
            </w:pPr>
            <w:r w:rsidRPr="005D6A4A">
              <w:t>Demobilization lessons, repeated issues, incidents, investigation findings, and control failures must be considered in future risk assessments and new project or planning.</w:t>
            </w:r>
          </w:p>
          <w:p w14:paraId="3EA92F7B" w14:textId="77777777" w:rsidR="00AF0F4A" w:rsidRDefault="00000000">
            <w:pPr>
              <w:keepNext/>
              <w:spacing w:before="120" w:after="80"/>
              <w:jc w:val="both"/>
            </w:pPr>
            <w:r>
              <w:rPr>
                <w:rFonts w:ascii="Calibri" w:hAnsi="Calibri"/>
                <w:b/>
              </w:rPr>
              <w:t>18. Emergency Demobilization</w:t>
            </w:r>
          </w:p>
          <w:p w14:paraId="7B8F6436" w14:textId="77777777" w:rsidR="00AF0F4A" w:rsidRDefault="00000000">
            <w:pPr>
              <w:spacing w:after="120"/>
              <w:jc w:val="both"/>
            </w:pPr>
            <w:r>
              <w:rPr>
                <w:rFonts w:ascii="Calibri" w:hAnsi="Calibri"/>
              </w:rPr>
              <w:t>If an operation must stop immediately because of a serious safety/security risk, government order, natural disaster, facility failure, legal requirement, or other emergency, protection of people, customer property, information, and SMSA assets comes first.</w:t>
            </w:r>
          </w:p>
          <w:p w14:paraId="4704665A" w14:textId="5B762C24" w:rsidR="00AF0F4A" w:rsidRDefault="00000000">
            <w:pPr>
              <w:spacing w:after="120"/>
              <w:jc w:val="both"/>
            </w:pPr>
            <w:r>
              <w:rPr>
                <w:rFonts w:ascii="Calibri" w:hAnsi="Calibri"/>
              </w:rPr>
              <w:t>Management may take urgent action before normal approvals only to the extent necessary to control the immediate situation. The Business Owner must notify the required functions as soon as practical and document the decision, actions, costs, assets, incidents, and risks. The remaining demobilization controls and final sign</w:t>
            </w:r>
            <w:r w:rsidR="006A617A">
              <w:rPr>
                <w:rFonts w:ascii="Calibri" w:hAnsi="Calibri"/>
              </w:rPr>
              <w:t xml:space="preserve"> </w:t>
            </w:r>
            <w:r>
              <w:rPr>
                <w:rFonts w:ascii="Calibri" w:hAnsi="Calibri"/>
              </w:rPr>
              <w:t>off requirements still apply once the immediate emergency is under control.</w:t>
            </w:r>
          </w:p>
          <w:p w14:paraId="0ED7528E" w14:textId="0B11FAF9" w:rsidR="00AF0F4A" w:rsidRDefault="00000000">
            <w:pPr>
              <w:keepNext/>
              <w:spacing w:before="120" w:after="80"/>
              <w:jc w:val="both"/>
            </w:pPr>
            <w:r>
              <w:rPr>
                <w:rFonts w:ascii="Calibri" w:hAnsi="Calibri"/>
                <w:b/>
              </w:rPr>
              <w:t>19. Non</w:t>
            </w:r>
            <w:r w:rsidR="006A617A">
              <w:rPr>
                <w:rFonts w:ascii="Calibri" w:hAnsi="Calibri"/>
                <w:b/>
              </w:rPr>
              <w:t xml:space="preserve"> </w:t>
            </w:r>
            <w:r>
              <w:rPr>
                <w:rFonts w:ascii="Calibri" w:hAnsi="Calibri"/>
                <w:b/>
              </w:rPr>
              <w:t>Compliance</w:t>
            </w:r>
          </w:p>
          <w:p w14:paraId="7586CC7A" w14:textId="6751A106" w:rsidR="00AF0F4A" w:rsidRDefault="00000000">
            <w:pPr>
              <w:spacing w:after="120"/>
              <w:jc w:val="both"/>
            </w:pPr>
            <w:r>
              <w:rPr>
                <w:rFonts w:ascii="Calibri" w:hAnsi="Calibri"/>
              </w:rPr>
              <w:t>Failure to follow required demobilization controls may result in corrective or disciplinary action under applicable SMSA rules. This includes, for example, bypassing required people or contract processes; moving, selling, returning, auctioning, or disposing of assets without proper control; failing to account for customer property/cash; leaving</w:t>
            </w:r>
            <w:r w:rsidR="006A617A">
              <w:rPr>
                <w:rFonts w:ascii="Calibri" w:hAnsi="Calibri"/>
              </w:rPr>
              <w:t xml:space="preserve"> </w:t>
            </w:r>
            <w:r>
              <w:rPr>
                <w:rFonts w:ascii="Calibri" w:hAnsi="Calibri"/>
              </w:rPr>
              <w:t xml:space="preserve">contracts, access, </w:t>
            </w:r>
            <w:r w:rsidR="006C226A">
              <w:rPr>
                <w:rFonts w:ascii="Calibri" w:hAnsi="Calibri"/>
              </w:rPr>
              <w:t>licenses</w:t>
            </w:r>
            <w:r>
              <w:rPr>
                <w:rFonts w:ascii="Calibri" w:hAnsi="Calibri"/>
              </w:rPr>
              <w:t xml:space="preserve">, obligations, or risks unmanaged; failing to report an incident; destroying potential evidence; or signing final closure without disclosing a known </w:t>
            </w:r>
            <w:r w:rsidR="006A617A">
              <w:rPr>
                <w:rFonts w:ascii="Calibri" w:hAnsi="Calibri"/>
              </w:rPr>
              <w:t>significant</w:t>
            </w:r>
            <w:r>
              <w:rPr>
                <w:rFonts w:ascii="Calibri" w:hAnsi="Calibri"/>
              </w:rPr>
              <w:t xml:space="preserve"> issue.</w:t>
            </w:r>
          </w:p>
          <w:p w14:paraId="184D09B1" w14:textId="77777777" w:rsidR="00AF0F4A" w:rsidRDefault="00000000">
            <w:pPr>
              <w:keepNext/>
              <w:spacing w:before="120" w:after="80"/>
              <w:jc w:val="both"/>
            </w:pPr>
            <w:r>
              <w:rPr>
                <w:rFonts w:ascii="Calibri" w:hAnsi="Calibri"/>
                <w:b/>
              </w:rPr>
              <w:t>20. Policy Exception / Waiver</w:t>
            </w:r>
          </w:p>
          <w:p w14:paraId="5E7978DB" w14:textId="59CD2CAB" w:rsidR="00AF0F4A" w:rsidRDefault="00000000">
            <w:pPr>
              <w:spacing w:after="120"/>
              <w:jc w:val="both"/>
            </w:pPr>
            <w:r>
              <w:rPr>
                <w:rFonts w:ascii="Calibri" w:hAnsi="Calibri"/>
              </w:rPr>
              <w:t xml:space="preserve">Any exception to this policy must be justified, documented, and approved through the current </w:t>
            </w:r>
            <w:r w:rsidR="006A617A">
              <w:rPr>
                <w:rFonts w:ascii="Calibri" w:hAnsi="Calibri"/>
              </w:rPr>
              <w:t xml:space="preserve">authority as per approved Org structure </w:t>
            </w:r>
            <w:r>
              <w:rPr>
                <w:rFonts w:ascii="Calibri" w:hAnsi="Calibri"/>
              </w:rPr>
              <w:t xml:space="preserve">or applicable </w:t>
            </w:r>
            <w:r w:rsidR="006C226A">
              <w:rPr>
                <w:rFonts w:ascii="Calibri" w:hAnsi="Calibri"/>
              </w:rPr>
              <w:t>governance policies (where available)</w:t>
            </w:r>
            <w:r>
              <w:rPr>
                <w:rFonts w:ascii="Calibri" w:hAnsi="Calibri"/>
              </w:rPr>
              <w:t>. The record must state the reason, risk, temporary control, responsible owner, expiry/review date, and approval. QRM review is required where a risk exception is involved.</w:t>
            </w:r>
          </w:p>
          <w:p w14:paraId="751E542E" w14:textId="3389E55D" w:rsidR="00AF0F4A" w:rsidRDefault="00000000">
            <w:pPr>
              <w:spacing w:after="120"/>
              <w:jc w:val="both"/>
            </w:pPr>
            <w:r>
              <w:rPr>
                <w:rFonts w:ascii="Calibri" w:hAnsi="Calibri"/>
              </w:rPr>
              <w:t>An exception cannot be used to bypass legal, regulatory, safety, security, evidence</w:t>
            </w:r>
            <w:r w:rsidR="006A617A">
              <w:rPr>
                <w:rFonts w:ascii="Calibri" w:hAnsi="Calibri"/>
              </w:rPr>
              <w:t xml:space="preserve"> </w:t>
            </w:r>
            <w:r>
              <w:rPr>
                <w:rFonts w:ascii="Calibri" w:hAnsi="Calibri"/>
              </w:rPr>
              <w:t>preservation, or mandatory customer requirements.</w:t>
            </w:r>
          </w:p>
          <w:p w14:paraId="279054C2" w14:textId="77777777" w:rsidR="00AF0F4A" w:rsidRDefault="00000000">
            <w:pPr>
              <w:keepNext/>
              <w:spacing w:before="120" w:after="80"/>
              <w:jc w:val="both"/>
            </w:pPr>
            <w:r>
              <w:rPr>
                <w:rFonts w:ascii="Calibri" w:hAnsi="Calibri"/>
                <w:b/>
              </w:rPr>
              <w:t>21. Related SMSA Policies and Documents</w:t>
            </w:r>
          </w:p>
          <w:p w14:paraId="67106D9E" w14:textId="77777777" w:rsidR="00AF0F4A" w:rsidRDefault="00000000">
            <w:pPr>
              <w:spacing w:after="120"/>
              <w:jc w:val="both"/>
            </w:pPr>
            <w:r>
              <w:rPr>
                <w:rFonts w:ascii="Calibri" w:hAnsi="Calibri"/>
              </w:rPr>
              <w:t>This policy must be read together with the current approved versions of the following SMSA documents on GUIDE, where applicable:</w:t>
            </w:r>
          </w:p>
          <w:p w14:paraId="12999DDF" w14:textId="77777777" w:rsidR="006C226A" w:rsidRDefault="00000000">
            <w:pPr>
              <w:pStyle w:val="ListParagraph"/>
              <w:numPr>
                <w:ilvl w:val="0"/>
                <w:numId w:val="2"/>
              </w:numPr>
              <w:spacing w:after="40"/>
              <w:jc w:val="both"/>
            </w:pPr>
            <w:r>
              <w:t>SMSA Risk Management Policy</w:t>
            </w:r>
          </w:p>
          <w:p w14:paraId="1BED41B2" w14:textId="4EB7489D" w:rsidR="006C226A" w:rsidRDefault="006C226A">
            <w:pPr>
              <w:pStyle w:val="ListParagraph"/>
              <w:numPr>
                <w:ilvl w:val="0"/>
                <w:numId w:val="2"/>
              </w:numPr>
              <w:spacing w:after="40"/>
              <w:jc w:val="both"/>
            </w:pPr>
            <w:r>
              <w:t>SMSA Risk Register</w:t>
            </w:r>
          </w:p>
          <w:p w14:paraId="173ADF13" w14:textId="488C9F7D" w:rsidR="006C226A" w:rsidRDefault="00000000">
            <w:pPr>
              <w:pStyle w:val="ListParagraph"/>
              <w:numPr>
                <w:ilvl w:val="0"/>
                <w:numId w:val="2"/>
              </w:numPr>
              <w:spacing w:after="40"/>
              <w:jc w:val="both"/>
            </w:pPr>
            <w:r>
              <w:t>SMSA Delegation of Authority Policy</w:t>
            </w:r>
          </w:p>
          <w:p w14:paraId="7C4A29C0" w14:textId="716119D4" w:rsidR="00AF0F4A" w:rsidRDefault="00000000">
            <w:pPr>
              <w:pStyle w:val="ListParagraph"/>
              <w:numPr>
                <w:ilvl w:val="0"/>
                <w:numId w:val="2"/>
              </w:numPr>
              <w:spacing w:after="40"/>
              <w:jc w:val="both"/>
            </w:pPr>
            <w:r>
              <w:lastRenderedPageBreak/>
              <w:t xml:space="preserve">SMSA Incident Reporting and Investigation </w:t>
            </w:r>
            <w:r w:rsidR="006C226A">
              <w:t>policy</w:t>
            </w:r>
            <w:r>
              <w:t>.</w:t>
            </w:r>
          </w:p>
          <w:p w14:paraId="4430A568" w14:textId="77777777" w:rsidR="00AF0F4A" w:rsidRDefault="00000000">
            <w:pPr>
              <w:pStyle w:val="ListParagraph"/>
              <w:numPr>
                <w:ilvl w:val="0"/>
                <w:numId w:val="2"/>
              </w:numPr>
              <w:spacing w:after="40"/>
              <w:jc w:val="both"/>
            </w:pPr>
            <w:r>
              <w:rPr>
                <w:rFonts w:ascii="Calibri" w:hAnsi="Calibri"/>
              </w:rPr>
              <w:t>Asset Management Policy and applicable Inventory asset procedures/forms.</w:t>
            </w:r>
          </w:p>
          <w:p w14:paraId="19466DF6" w14:textId="77777777" w:rsidR="00AF0F4A" w:rsidRDefault="00000000">
            <w:pPr>
              <w:pStyle w:val="ListParagraph"/>
              <w:numPr>
                <w:ilvl w:val="0"/>
                <w:numId w:val="2"/>
              </w:numPr>
              <w:spacing w:after="40"/>
              <w:jc w:val="both"/>
            </w:pPr>
            <w:r>
              <w:rPr>
                <w:rFonts w:ascii="Calibri" w:hAnsi="Calibri"/>
              </w:rPr>
              <w:t>Unclaimed Undelivered Shipments Auction and Disposal Policy.</w:t>
            </w:r>
          </w:p>
          <w:p w14:paraId="3DF52E6A" w14:textId="77777777" w:rsidR="00AF0F4A" w:rsidRDefault="00000000">
            <w:pPr>
              <w:pStyle w:val="ListParagraph"/>
              <w:numPr>
                <w:ilvl w:val="0"/>
                <w:numId w:val="2"/>
              </w:numPr>
              <w:spacing w:after="40"/>
              <w:jc w:val="both"/>
            </w:pPr>
            <w:r>
              <w:rPr>
                <w:rFonts w:ascii="Calibri" w:hAnsi="Calibri"/>
              </w:rPr>
              <w:t>Access Control Policy.</w:t>
            </w:r>
          </w:p>
          <w:p w14:paraId="030C8048" w14:textId="77777777" w:rsidR="006C226A" w:rsidRPr="006C226A" w:rsidRDefault="00000000">
            <w:pPr>
              <w:pStyle w:val="ListParagraph"/>
              <w:numPr>
                <w:ilvl w:val="0"/>
                <w:numId w:val="2"/>
              </w:numPr>
              <w:spacing w:after="40"/>
              <w:jc w:val="both"/>
            </w:pPr>
            <w:r>
              <w:rPr>
                <w:rFonts w:ascii="Calibri" w:hAnsi="Calibri"/>
              </w:rPr>
              <w:t>Contracting/Outsourcing and Contractor Management Procedure</w:t>
            </w:r>
          </w:p>
          <w:p w14:paraId="02026D41" w14:textId="0F2A1A6B" w:rsidR="00AF0F4A" w:rsidRDefault="00000000">
            <w:pPr>
              <w:pStyle w:val="ListParagraph"/>
              <w:numPr>
                <w:ilvl w:val="0"/>
                <w:numId w:val="2"/>
              </w:numPr>
              <w:spacing w:after="40"/>
              <w:jc w:val="both"/>
            </w:pPr>
            <w:r>
              <w:rPr>
                <w:rFonts w:ascii="Calibri" w:hAnsi="Calibri"/>
              </w:rPr>
              <w:t>Purchasing procedures.</w:t>
            </w:r>
          </w:p>
          <w:p w14:paraId="32261ACD" w14:textId="77777777" w:rsidR="00AF0F4A" w:rsidRDefault="00000000">
            <w:pPr>
              <w:pStyle w:val="ListParagraph"/>
              <w:numPr>
                <w:ilvl w:val="0"/>
                <w:numId w:val="2"/>
              </w:numPr>
              <w:spacing w:after="40"/>
              <w:jc w:val="both"/>
            </w:pPr>
            <w:r>
              <w:rPr>
                <w:rFonts w:ascii="Calibri" w:hAnsi="Calibri"/>
              </w:rPr>
              <w:t>Control of Documents &amp; Records.</w:t>
            </w:r>
          </w:p>
          <w:p w14:paraId="7ADEE930" w14:textId="77777777" w:rsidR="00AF0F4A" w:rsidRDefault="00000000">
            <w:pPr>
              <w:pStyle w:val="ListParagraph"/>
              <w:numPr>
                <w:ilvl w:val="0"/>
                <w:numId w:val="2"/>
              </w:numPr>
              <w:spacing w:after="40"/>
              <w:jc w:val="both"/>
            </w:pPr>
            <w:r>
              <w:rPr>
                <w:rFonts w:ascii="Calibri" w:hAnsi="Calibri"/>
              </w:rPr>
              <w:t>Applicable SMSA insurance policies and Finance insurance/claims procedures.</w:t>
            </w:r>
          </w:p>
          <w:p w14:paraId="4439FBD8" w14:textId="77777777" w:rsidR="006C226A" w:rsidRPr="006C226A" w:rsidRDefault="00000000">
            <w:pPr>
              <w:pStyle w:val="ListParagraph"/>
              <w:numPr>
                <w:ilvl w:val="0"/>
                <w:numId w:val="2"/>
              </w:numPr>
              <w:spacing w:after="40"/>
              <w:jc w:val="both"/>
            </w:pPr>
            <w:r>
              <w:rPr>
                <w:rFonts w:ascii="Calibri" w:hAnsi="Calibri"/>
              </w:rPr>
              <w:t>Applicable Legal/regulatory compliance records</w:t>
            </w:r>
          </w:p>
          <w:p w14:paraId="54A4C88D" w14:textId="5415C59B" w:rsidR="00AF0F4A" w:rsidRDefault="006C226A">
            <w:pPr>
              <w:pStyle w:val="ListParagraph"/>
              <w:numPr>
                <w:ilvl w:val="0"/>
                <w:numId w:val="2"/>
              </w:numPr>
              <w:spacing w:after="40"/>
              <w:jc w:val="both"/>
            </w:pPr>
            <w:r>
              <w:rPr>
                <w:rFonts w:ascii="Calibri" w:hAnsi="Calibri"/>
              </w:rPr>
              <w:t>Applicable HR, Business Continuity, Security, EHS, Fleet, Facilities, and operational procedures.</w:t>
            </w:r>
          </w:p>
          <w:p w14:paraId="50AEBBA3" w14:textId="77777777" w:rsidR="00AF0F4A" w:rsidRDefault="00000000">
            <w:pPr>
              <w:spacing w:after="120"/>
              <w:jc w:val="both"/>
            </w:pPr>
            <w:r>
              <w:rPr>
                <w:rFonts w:ascii="Calibri" w:hAnsi="Calibri"/>
              </w:rPr>
              <w:t>If a legal requirement sets a stricter control for a specific matter, the stricter requirement applies.</w:t>
            </w:r>
          </w:p>
          <w:p w14:paraId="5A614410" w14:textId="77777777" w:rsidR="00AF0F4A" w:rsidRDefault="00000000">
            <w:pPr>
              <w:keepNext/>
              <w:spacing w:before="120" w:after="80"/>
              <w:jc w:val="both"/>
            </w:pPr>
            <w:r>
              <w:rPr>
                <w:rFonts w:ascii="Calibri" w:hAnsi="Calibri"/>
                <w:b/>
              </w:rPr>
              <w:t>22. Review Period</w:t>
            </w:r>
          </w:p>
          <w:p w14:paraId="607D1092" w14:textId="77777777" w:rsidR="00AF0F4A" w:rsidRDefault="00000000">
            <w:pPr>
              <w:spacing w:after="120"/>
              <w:jc w:val="both"/>
            </w:pPr>
            <w:r>
              <w:t>This policy must be reviewed at least annually and earlier after a significant business, legal, regulatory, risk, audit, incident/investigation, or demobilization control change.</w:t>
            </w:r>
          </w:p>
        </w:tc>
      </w:tr>
    </w:tbl>
    <w:p w14:paraId="2A96CFCB" w14:textId="77777777" w:rsidR="00283C05" w:rsidRDefault="00283C05"/>
    <w:sectPr w:rsidR="00283C05" w:rsidSect="00C8440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45FF9" w14:textId="77777777" w:rsidR="00F43D1F" w:rsidRDefault="00F43D1F" w:rsidP="003050B7">
      <w:pPr>
        <w:spacing w:after="0"/>
      </w:pPr>
      <w:r>
        <w:separator/>
      </w:r>
    </w:p>
  </w:endnote>
  <w:endnote w:type="continuationSeparator" w:id="0">
    <w:p w14:paraId="5EE22A37" w14:textId="77777777" w:rsidR="00F43D1F" w:rsidRDefault="00F43D1F" w:rsidP="003050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ACAA0" w14:textId="77777777" w:rsidR="00555B6A" w:rsidRPr="00B93592" w:rsidRDefault="00B93592" w:rsidP="002D6CD3">
    <w:pPr>
      <w:pStyle w:val="Footer"/>
      <w:rPr>
        <w:rFonts w:asciiTheme="minorHAnsi" w:hAnsiTheme="minorHAnsi" w:cstheme="minorHAnsi"/>
        <w:sz w:val="20"/>
        <w:szCs w:val="20"/>
      </w:rPr>
    </w:pPr>
    <w:r w:rsidRPr="00B93592">
      <w:rPr>
        <w:rFonts w:asciiTheme="minorHAnsi" w:hAnsiTheme="minorHAnsi" w:cstheme="minorHAnsi"/>
        <w:sz w:val="20"/>
        <w:szCs w:val="20"/>
      </w:rPr>
      <w:t xml:space="preserve">Page </w:t>
    </w:r>
    <w:r w:rsidR="00BB7692" w:rsidRPr="00B93592">
      <w:rPr>
        <w:rFonts w:asciiTheme="minorHAnsi" w:hAnsiTheme="minorHAnsi" w:cstheme="minorHAnsi"/>
        <w:b/>
        <w:sz w:val="20"/>
        <w:szCs w:val="20"/>
      </w:rPr>
      <w:fldChar w:fldCharType="begin"/>
    </w:r>
    <w:r w:rsidRPr="00B93592">
      <w:rPr>
        <w:rFonts w:asciiTheme="minorHAnsi" w:hAnsiTheme="minorHAnsi" w:cstheme="minorHAnsi"/>
        <w:b/>
        <w:sz w:val="20"/>
        <w:szCs w:val="20"/>
      </w:rPr>
      <w:instrText xml:space="preserve"> PAGE </w:instrText>
    </w:r>
    <w:r w:rsidR="00BB7692" w:rsidRPr="00B93592">
      <w:rPr>
        <w:rFonts w:asciiTheme="minorHAnsi" w:hAnsiTheme="minorHAnsi" w:cstheme="minorHAnsi"/>
        <w:b/>
        <w:sz w:val="20"/>
        <w:szCs w:val="20"/>
      </w:rPr>
      <w:fldChar w:fldCharType="separate"/>
    </w:r>
    <w:r w:rsidR="00813BD5">
      <w:rPr>
        <w:rFonts w:asciiTheme="minorHAnsi" w:hAnsiTheme="minorHAnsi" w:cstheme="minorHAnsi"/>
        <w:b/>
        <w:noProof/>
        <w:sz w:val="20"/>
        <w:szCs w:val="20"/>
      </w:rPr>
      <w:t>11</w:t>
    </w:r>
    <w:r w:rsidR="00BB7692" w:rsidRPr="00B93592">
      <w:rPr>
        <w:rFonts w:asciiTheme="minorHAnsi" w:hAnsiTheme="minorHAnsi" w:cstheme="minorHAnsi"/>
        <w:b/>
        <w:sz w:val="20"/>
        <w:szCs w:val="20"/>
      </w:rPr>
      <w:fldChar w:fldCharType="end"/>
    </w:r>
    <w:r w:rsidRPr="00B93592">
      <w:rPr>
        <w:rFonts w:asciiTheme="minorHAnsi" w:hAnsiTheme="minorHAnsi" w:cstheme="minorHAnsi"/>
        <w:sz w:val="20"/>
        <w:szCs w:val="20"/>
      </w:rPr>
      <w:t xml:space="preserve"> of </w:t>
    </w:r>
    <w:r w:rsidR="00BB7692" w:rsidRPr="00B93592">
      <w:rPr>
        <w:rFonts w:asciiTheme="minorHAnsi" w:hAnsiTheme="minorHAnsi" w:cstheme="minorHAnsi"/>
        <w:b/>
        <w:sz w:val="20"/>
        <w:szCs w:val="20"/>
      </w:rPr>
      <w:fldChar w:fldCharType="begin"/>
    </w:r>
    <w:r w:rsidRPr="00B93592">
      <w:rPr>
        <w:rFonts w:asciiTheme="minorHAnsi" w:hAnsiTheme="minorHAnsi" w:cstheme="minorHAnsi"/>
        <w:b/>
        <w:sz w:val="20"/>
        <w:szCs w:val="20"/>
      </w:rPr>
      <w:instrText xml:space="preserve"> NUMPAGES  </w:instrText>
    </w:r>
    <w:r w:rsidR="00BB7692" w:rsidRPr="00B93592">
      <w:rPr>
        <w:rFonts w:asciiTheme="minorHAnsi" w:hAnsiTheme="minorHAnsi" w:cstheme="minorHAnsi"/>
        <w:b/>
        <w:sz w:val="20"/>
        <w:szCs w:val="20"/>
      </w:rPr>
      <w:fldChar w:fldCharType="separate"/>
    </w:r>
    <w:r w:rsidR="00813BD5">
      <w:rPr>
        <w:rFonts w:asciiTheme="minorHAnsi" w:hAnsiTheme="minorHAnsi" w:cstheme="minorHAnsi"/>
        <w:b/>
        <w:noProof/>
        <w:sz w:val="20"/>
        <w:szCs w:val="20"/>
      </w:rPr>
      <w:t>11</w:t>
    </w:r>
    <w:r w:rsidR="00BB7692" w:rsidRPr="00B93592">
      <w:rPr>
        <w:rFonts w:asciiTheme="minorHAnsi" w:hAnsiTheme="minorHAnsi" w:cstheme="minorHAnsi"/>
        <w:b/>
        <w:sz w:val="20"/>
        <w:szCs w:val="20"/>
      </w:rPr>
      <w:fldChar w:fldCharType="end"/>
    </w:r>
    <w:r w:rsidRPr="00B93592">
      <w:rPr>
        <w:rFonts w:asciiTheme="minorHAnsi" w:hAnsiTheme="minorHAnsi" w:cstheme="minorHAnsi"/>
        <w:sz w:val="20"/>
        <w:szCs w:val="20"/>
      </w:rPr>
      <w:ptab w:relativeTo="margin" w:alignment="center" w:leader="none"/>
    </w:r>
    <w:r w:rsidRPr="00B93592">
      <w:rPr>
        <w:rFonts w:asciiTheme="minorHAnsi" w:hAnsiTheme="minorHAnsi" w:cstheme="minorHAnsi"/>
        <w:sz w:val="20"/>
        <w:szCs w:val="20"/>
      </w:rPr>
      <w:t>Uncontrolled copy if printed</w:t>
    </w:r>
    <w:r w:rsidRPr="00B93592">
      <w:rPr>
        <w:rFonts w:asciiTheme="minorHAnsi" w:hAnsiTheme="minorHAnsi" w:cstheme="minorHAnsi"/>
        <w:sz w:val="20"/>
        <w:szCs w:val="20"/>
      </w:rPr>
      <w:ptab w:relativeTo="margin" w:alignment="right" w:leader="none"/>
    </w:r>
    <w:r w:rsidRPr="00B93592">
      <w:rPr>
        <w:rFonts w:asciiTheme="minorHAnsi" w:hAnsiTheme="minorHAnsi" w:cstheme="minorHAnsi"/>
        <w:sz w:val="20"/>
        <w:szCs w:val="20"/>
      </w:rPr>
      <w:t xml:space="preserve"> </w:t>
    </w:r>
  </w:p>
  <w:p w14:paraId="466C1598" w14:textId="77777777" w:rsidR="00B93592" w:rsidRPr="00B93592" w:rsidRDefault="007038E5" w:rsidP="0040288F">
    <w:pPr>
      <w:pStyle w:val="Footer"/>
      <w:jc w:val="right"/>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CC0FC" w14:textId="77777777" w:rsidR="00F43D1F" w:rsidRDefault="00F43D1F" w:rsidP="003050B7">
      <w:pPr>
        <w:spacing w:after="0"/>
      </w:pPr>
      <w:r>
        <w:separator/>
      </w:r>
    </w:p>
  </w:footnote>
  <w:footnote w:type="continuationSeparator" w:id="0">
    <w:p w14:paraId="64371DA4" w14:textId="77777777" w:rsidR="00F43D1F" w:rsidRDefault="00F43D1F" w:rsidP="003050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tblInd w:w="-432" w:type="dxa"/>
      <w:tblLook w:val="04A0" w:firstRow="1" w:lastRow="0" w:firstColumn="1" w:lastColumn="0" w:noHBand="0" w:noVBand="1"/>
    </w:tblPr>
    <w:tblGrid>
      <w:gridCol w:w="4230"/>
      <w:gridCol w:w="6390"/>
    </w:tblGrid>
    <w:tr w:rsidR="00607DB0" w:rsidRPr="003069FB" w14:paraId="5A258C35" w14:textId="77777777" w:rsidTr="00980C86">
      <w:tc>
        <w:tcPr>
          <w:tcW w:w="4230" w:type="dxa"/>
        </w:tcPr>
        <w:p w14:paraId="09F8C170" w14:textId="77777777" w:rsidR="00555B6A" w:rsidRPr="003069FB" w:rsidRDefault="00B93592" w:rsidP="003050B7">
          <w:pPr>
            <w:pStyle w:val="Header"/>
            <w:rPr>
              <w:b/>
              <w:noProof/>
              <w:sz w:val="28"/>
              <w:szCs w:val="28"/>
            </w:rPr>
          </w:pPr>
          <w:r>
            <w:rPr>
              <w:b/>
              <w:noProof/>
              <w:sz w:val="28"/>
              <w:szCs w:val="28"/>
            </w:rPr>
            <w:drawing>
              <wp:inline distT="0" distB="0" distL="0" distR="0" wp14:anchorId="3C113EDB" wp14:editId="7CA53225">
                <wp:extent cx="1349713" cy="342900"/>
                <wp:effectExtent l="19050" t="0" r="2837" b="0"/>
                <wp:docPr id="1" name="Picture 0" descr="official smsa logo 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ial smsa logo en.png"/>
                        <pic:cNvPicPr/>
                      </pic:nvPicPr>
                      <pic:blipFill>
                        <a:blip r:embed="rId1"/>
                        <a:srcRect b="38054"/>
                        <a:stretch>
                          <a:fillRect/>
                        </a:stretch>
                      </pic:blipFill>
                      <pic:spPr>
                        <a:xfrm>
                          <a:off x="0" y="0"/>
                          <a:ext cx="1351983" cy="343477"/>
                        </a:xfrm>
                        <a:prstGeom prst="rect">
                          <a:avLst/>
                        </a:prstGeom>
                      </pic:spPr>
                    </pic:pic>
                  </a:graphicData>
                </a:graphic>
              </wp:inline>
            </w:drawing>
          </w:r>
        </w:p>
      </w:tc>
      <w:tc>
        <w:tcPr>
          <w:tcW w:w="6390" w:type="dxa"/>
        </w:tcPr>
        <w:p w14:paraId="2721957E" w14:textId="77777777" w:rsidR="00AF0F4A" w:rsidRDefault="00000000">
          <w:pPr>
            <w:spacing w:after="0"/>
            <w:jc w:val="right"/>
          </w:pPr>
          <w:r>
            <w:rPr>
              <w:rFonts w:ascii="Calibri" w:hAnsi="Calibri" w:cs="Calibri"/>
              <w:b/>
              <w:sz w:val="32"/>
            </w:rPr>
            <w:t>Demobilization Policy</w:t>
          </w:r>
        </w:p>
        <w:p w14:paraId="4E70D844" w14:textId="77777777" w:rsidR="00AF0F4A" w:rsidRDefault="00000000">
          <w:pPr>
            <w:spacing w:after="0"/>
            <w:jc w:val="right"/>
          </w:pPr>
          <w:r>
            <w:rPr>
              <w:rFonts w:ascii="Calibri" w:hAnsi="Calibri" w:cs="Calibri"/>
            </w:rPr>
            <w:t xml:space="preserve">Owner/ Department: </w:t>
          </w:r>
          <w:r w:rsidR="00730B79">
            <w:rPr>
              <w:rFonts w:ascii="Calibri" w:hAnsi="Calibri" w:cs="Calibri"/>
            </w:rPr>
            <w:t>Corporate</w:t>
          </w:r>
        </w:p>
      </w:tc>
    </w:tr>
  </w:tbl>
  <w:p w14:paraId="6D80AF7C" w14:textId="77777777" w:rsidR="00555B6A" w:rsidRPr="00607DB0" w:rsidRDefault="00555B6A" w:rsidP="00B935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27866"/>
    <w:multiLevelType w:val="hybridMultilevel"/>
    <w:tmpl w:val="5194F6F4"/>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238F2"/>
    <w:multiLevelType w:val="hybridMultilevel"/>
    <w:tmpl w:val="965CD9D4"/>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2" w15:restartNumberingAfterBreak="0">
    <w:nsid w:val="20796879"/>
    <w:multiLevelType w:val="hybridMultilevel"/>
    <w:tmpl w:val="73FAA84E"/>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3" w15:restartNumberingAfterBreak="0">
    <w:nsid w:val="23E41297"/>
    <w:multiLevelType w:val="hybridMultilevel"/>
    <w:tmpl w:val="E174A9F4"/>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4" w15:restartNumberingAfterBreak="0">
    <w:nsid w:val="28E80C5B"/>
    <w:multiLevelType w:val="hybridMultilevel"/>
    <w:tmpl w:val="56FE9EFE"/>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C34024"/>
    <w:multiLevelType w:val="hybridMultilevel"/>
    <w:tmpl w:val="E1169D6E"/>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092145"/>
    <w:multiLevelType w:val="hybridMultilevel"/>
    <w:tmpl w:val="25A21B96"/>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1C4C7F"/>
    <w:multiLevelType w:val="hybridMultilevel"/>
    <w:tmpl w:val="D7B4C434"/>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8" w15:restartNumberingAfterBreak="0">
    <w:nsid w:val="31496EED"/>
    <w:multiLevelType w:val="hybridMultilevel"/>
    <w:tmpl w:val="85CC7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93522D"/>
    <w:multiLevelType w:val="hybridMultilevel"/>
    <w:tmpl w:val="81EA8300"/>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0" w15:restartNumberingAfterBreak="0">
    <w:nsid w:val="380717D2"/>
    <w:multiLevelType w:val="hybridMultilevel"/>
    <w:tmpl w:val="0DFA8324"/>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1173E1"/>
    <w:multiLevelType w:val="hybridMultilevel"/>
    <w:tmpl w:val="83D29E14"/>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2" w15:restartNumberingAfterBreak="0">
    <w:nsid w:val="3BC355C5"/>
    <w:multiLevelType w:val="hybridMultilevel"/>
    <w:tmpl w:val="573E6764"/>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5D066B"/>
    <w:multiLevelType w:val="hybridMultilevel"/>
    <w:tmpl w:val="D6E005B4"/>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356517"/>
    <w:multiLevelType w:val="hybridMultilevel"/>
    <w:tmpl w:val="C8F86CCE"/>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5" w15:restartNumberingAfterBreak="0">
    <w:nsid w:val="51206E69"/>
    <w:multiLevelType w:val="hybridMultilevel"/>
    <w:tmpl w:val="103C509C"/>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6" w15:restartNumberingAfterBreak="0">
    <w:nsid w:val="52F55702"/>
    <w:multiLevelType w:val="hybridMultilevel"/>
    <w:tmpl w:val="4E684872"/>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9556B"/>
    <w:multiLevelType w:val="hybridMultilevel"/>
    <w:tmpl w:val="68641A92"/>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8" w15:restartNumberingAfterBreak="0">
    <w:nsid w:val="66DC5A68"/>
    <w:multiLevelType w:val="hybridMultilevel"/>
    <w:tmpl w:val="218689EE"/>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19" w15:restartNumberingAfterBreak="0">
    <w:nsid w:val="6A481FDD"/>
    <w:multiLevelType w:val="hybridMultilevel"/>
    <w:tmpl w:val="4396560C"/>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382302"/>
    <w:multiLevelType w:val="hybridMultilevel"/>
    <w:tmpl w:val="5DE0BBBE"/>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21" w15:restartNumberingAfterBreak="0">
    <w:nsid w:val="70B808B9"/>
    <w:multiLevelType w:val="multilevel"/>
    <w:tmpl w:val="155E38BA"/>
    <w:lvl w:ilvl="0">
      <w:start w:val="1"/>
      <w:numFmt w:val="decimal"/>
      <w:pStyle w:val="AJMBNK-Heading1"/>
      <w:lvlText w:val="%1"/>
      <w:lvlJc w:val="left"/>
      <w:pPr>
        <w:ind w:left="432" w:hanging="432"/>
      </w:pPr>
      <w:rPr>
        <w:rFonts w:hint="default"/>
      </w:rPr>
    </w:lvl>
    <w:lvl w:ilvl="1">
      <w:start w:val="1"/>
      <w:numFmt w:val="decimal"/>
      <w:pStyle w:val="AJMBNK-Heading2"/>
      <w:lvlText w:val="%1.%2"/>
      <w:lvlJc w:val="left"/>
      <w:pPr>
        <w:ind w:left="576" w:hanging="576"/>
      </w:pPr>
      <w:rPr>
        <w:rFonts w:hint="default"/>
        <w:color w:val="auto"/>
      </w:rPr>
    </w:lvl>
    <w:lvl w:ilvl="2">
      <w:start w:val="1"/>
      <w:numFmt w:val="decimal"/>
      <w:pStyle w:val="H3-AJMBNK"/>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1406A27"/>
    <w:multiLevelType w:val="hybridMultilevel"/>
    <w:tmpl w:val="2D1ABD06"/>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23" w15:restartNumberingAfterBreak="0">
    <w:nsid w:val="72916E09"/>
    <w:multiLevelType w:val="hybridMultilevel"/>
    <w:tmpl w:val="3536D31C"/>
    <w:lvl w:ilvl="0" w:tplc="2AB02200">
      <w:numFmt w:val="bullet"/>
      <w:lvlText w:val="•"/>
      <w:lvlJc w:val="left"/>
      <w:pPr>
        <w:ind w:left="534" w:hanging="360"/>
      </w:pPr>
      <w:rPr>
        <w:rFonts w:ascii="Calibri" w:eastAsiaTheme="minorHAnsi" w:hAnsi="Calibri" w:cs="Calibri" w:hint="default"/>
      </w:rPr>
    </w:lvl>
    <w:lvl w:ilvl="1" w:tplc="04090003" w:tentative="1">
      <w:start w:val="1"/>
      <w:numFmt w:val="bullet"/>
      <w:lvlText w:val="o"/>
      <w:lvlJc w:val="left"/>
      <w:pPr>
        <w:ind w:left="1527" w:hanging="360"/>
      </w:pPr>
      <w:rPr>
        <w:rFonts w:ascii="Courier New" w:hAnsi="Courier New" w:cs="Courier New" w:hint="default"/>
      </w:rPr>
    </w:lvl>
    <w:lvl w:ilvl="2" w:tplc="04090005" w:tentative="1">
      <w:start w:val="1"/>
      <w:numFmt w:val="bullet"/>
      <w:lvlText w:val=""/>
      <w:lvlJc w:val="left"/>
      <w:pPr>
        <w:ind w:left="2247" w:hanging="360"/>
      </w:pPr>
      <w:rPr>
        <w:rFonts w:ascii="Wingdings" w:hAnsi="Wingdings" w:hint="default"/>
      </w:rPr>
    </w:lvl>
    <w:lvl w:ilvl="3" w:tplc="04090001" w:tentative="1">
      <w:start w:val="1"/>
      <w:numFmt w:val="bullet"/>
      <w:lvlText w:val=""/>
      <w:lvlJc w:val="left"/>
      <w:pPr>
        <w:ind w:left="2967" w:hanging="360"/>
      </w:pPr>
      <w:rPr>
        <w:rFonts w:ascii="Symbol" w:hAnsi="Symbol" w:hint="default"/>
      </w:rPr>
    </w:lvl>
    <w:lvl w:ilvl="4" w:tplc="04090003" w:tentative="1">
      <w:start w:val="1"/>
      <w:numFmt w:val="bullet"/>
      <w:lvlText w:val="o"/>
      <w:lvlJc w:val="left"/>
      <w:pPr>
        <w:ind w:left="3687" w:hanging="360"/>
      </w:pPr>
      <w:rPr>
        <w:rFonts w:ascii="Courier New" w:hAnsi="Courier New" w:cs="Courier New" w:hint="default"/>
      </w:rPr>
    </w:lvl>
    <w:lvl w:ilvl="5" w:tplc="04090005" w:tentative="1">
      <w:start w:val="1"/>
      <w:numFmt w:val="bullet"/>
      <w:lvlText w:val=""/>
      <w:lvlJc w:val="left"/>
      <w:pPr>
        <w:ind w:left="4407" w:hanging="360"/>
      </w:pPr>
      <w:rPr>
        <w:rFonts w:ascii="Wingdings" w:hAnsi="Wingdings" w:hint="default"/>
      </w:rPr>
    </w:lvl>
    <w:lvl w:ilvl="6" w:tplc="04090001" w:tentative="1">
      <w:start w:val="1"/>
      <w:numFmt w:val="bullet"/>
      <w:lvlText w:val=""/>
      <w:lvlJc w:val="left"/>
      <w:pPr>
        <w:ind w:left="5127" w:hanging="360"/>
      </w:pPr>
      <w:rPr>
        <w:rFonts w:ascii="Symbol" w:hAnsi="Symbol" w:hint="default"/>
      </w:rPr>
    </w:lvl>
    <w:lvl w:ilvl="7" w:tplc="04090003" w:tentative="1">
      <w:start w:val="1"/>
      <w:numFmt w:val="bullet"/>
      <w:lvlText w:val="o"/>
      <w:lvlJc w:val="left"/>
      <w:pPr>
        <w:ind w:left="5847" w:hanging="360"/>
      </w:pPr>
      <w:rPr>
        <w:rFonts w:ascii="Courier New" w:hAnsi="Courier New" w:cs="Courier New" w:hint="default"/>
      </w:rPr>
    </w:lvl>
    <w:lvl w:ilvl="8" w:tplc="04090005" w:tentative="1">
      <w:start w:val="1"/>
      <w:numFmt w:val="bullet"/>
      <w:lvlText w:val=""/>
      <w:lvlJc w:val="left"/>
      <w:pPr>
        <w:ind w:left="6567" w:hanging="360"/>
      </w:pPr>
      <w:rPr>
        <w:rFonts w:ascii="Wingdings" w:hAnsi="Wingdings" w:hint="default"/>
      </w:rPr>
    </w:lvl>
  </w:abstractNum>
  <w:abstractNum w:abstractNumId="24" w15:restartNumberingAfterBreak="0">
    <w:nsid w:val="75F87282"/>
    <w:multiLevelType w:val="hybridMultilevel"/>
    <w:tmpl w:val="917A595E"/>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AF1F11"/>
    <w:multiLevelType w:val="hybridMultilevel"/>
    <w:tmpl w:val="ED08F020"/>
    <w:lvl w:ilvl="0" w:tplc="2AB02200">
      <w:numFmt w:val="bullet"/>
      <w:lvlText w:val="•"/>
      <w:lvlJc w:val="left"/>
      <w:pPr>
        <w:ind w:left="447"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207947">
    <w:abstractNumId w:val="21"/>
  </w:num>
  <w:num w:numId="2" w16cid:durableId="1479959072">
    <w:abstractNumId w:val="7"/>
  </w:num>
  <w:num w:numId="3" w16cid:durableId="1939019739">
    <w:abstractNumId w:val="23"/>
  </w:num>
  <w:num w:numId="4" w16cid:durableId="899168599">
    <w:abstractNumId w:val="20"/>
  </w:num>
  <w:num w:numId="5" w16cid:durableId="1684627550">
    <w:abstractNumId w:val="14"/>
  </w:num>
  <w:num w:numId="6" w16cid:durableId="1672875309">
    <w:abstractNumId w:val="11"/>
  </w:num>
  <w:num w:numId="7" w16cid:durableId="393478444">
    <w:abstractNumId w:val="9"/>
  </w:num>
  <w:num w:numId="8" w16cid:durableId="1963489991">
    <w:abstractNumId w:val="22"/>
  </w:num>
  <w:num w:numId="9" w16cid:durableId="632515962">
    <w:abstractNumId w:val="3"/>
  </w:num>
  <w:num w:numId="10" w16cid:durableId="728573132">
    <w:abstractNumId w:val="17"/>
  </w:num>
  <w:num w:numId="11" w16cid:durableId="1094858836">
    <w:abstractNumId w:val="1"/>
  </w:num>
  <w:num w:numId="12" w16cid:durableId="1505823144">
    <w:abstractNumId w:val="2"/>
  </w:num>
  <w:num w:numId="13" w16cid:durableId="2000571846">
    <w:abstractNumId w:val="18"/>
  </w:num>
  <w:num w:numId="14" w16cid:durableId="1235972414">
    <w:abstractNumId w:val="4"/>
  </w:num>
  <w:num w:numId="15" w16cid:durableId="1194197034">
    <w:abstractNumId w:val="19"/>
  </w:num>
  <w:num w:numId="16" w16cid:durableId="1013650933">
    <w:abstractNumId w:val="25"/>
  </w:num>
  <w:num w:numId="17" w16cid:durableId="1090005861">
    <w:abstractNumId w:val="24"/>
  </w:num>
  <w:num w:numId="18" w16cid:durableId="1406611490">
    <w:abstractNumId w:val="10"/>
  </w:num>
  <w:num w:numId="19" w16cid:durableId="1647129241">
    <w:abstractNumId w:val="13"/>
  </w:num>
  <w:num w:numId="20" w16cid:durableId="1215968247">
    <w:abstractNumId w:val="16"/>
  </w:num>
  <w:num w:numId="21" w16cid:durableId="1192256983">
    <w:abstractNumId w:val="12"/>
  </w:num>
  <w:num w:numId="22" w16cid:durableId="201669960">
    <w:abstractNumId w:val="6"/>
  </w:num>
  <w:num w:numId="23" w16cid:durableId="867985839">
    <w:abstractNumId w:val="5"/>
  </w:num>
  <w:num w:numId="24" w16cid:durableId="30571228">
    <w:abstractNumId w:val="0"/>
  </w:num>
  <w:num w:numId="25" w16cid:durableId="696391683">
    <w:abstractNumId w:val="15"/>
  </w:num>
  <w:num w:numId="26" w16cid:durableId="1429815738">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50B7"/>
    <w:rsid w:val="000002C8"/>
    <w:rsid w:val="0000200C"/>
    <w:rsid w:val="000034A0"/>
    <w:rsid w:val="00003C93"/>
    <w:rsid w:val="000042AA"/>
    <w:rsid w:val="00005379"/>
    <w:rsid w:val="0000678F"/>
    <w:rsid w:val="00006CDD"/>
    <w:rsid w:val="00006DB4"/>
    <w:rsid w:val="00006E43"/>
    <w:rsid w:val="00007F8E"/>
    <w:rsid w:val="0001023F"/>
    <w:rsid w:val="00011BDF"/>
    <w:rsid w:val="00011CFB"/>
    <w:rsid w:val="000128B5"/>
    <w:rsid w:val="00012F26"/>
    <w:rsid w:val="00013632"/>
    <w:rsid w:val="00013F2A"/>
    <w:rsid w:val="00015AD0"/>
    <w:rsid w:val="000226CC"/>
    <w:rsid w:val="00022776"/>
    <w:rsid w:val="00023B75"/>
    <w:rsid w:val="00027D5C"/>
    <w:rsid w:val="00033B1D"/>
    <w:rsid w:val="000355EC"/>
    <w:rsid w:val="00036E79"/>
    <w:rsid w:val="00042D27"/>
    <w:rsid w:val="00043891"/>
    <w:rsid w:val="00044CF3"/>
    <w:rsid w:val="000450EC"/>
    <w:rsid w:val="000457BC"/>
    <w:rsid w:val="00045A41"/>
    <w:rsid w:val="000467EF"/>
    <w:rsid w:val="0004681F"/>
    <w:rsid w:val="000469DE"/>
    <w:rsid w:val="00046DDB"/>
    <w:rsid w:val="00054D03"/>
    <w:rsid w:val="000560DE"/>
    <w:rsid w:val="0006049B"/>
    <w:rsid w:val="0006086F"/>
    <w:rsid w:val="0006162A"/>
    <w:rsid w:val="0006546A"/>
    <w:rsid w:val="00065CC6"/>
    <w:rsid w:val="00067C6B"/>
    <w:rsid w:val="000712E3"/>
    <w:rsid w:val="00071AA5"/>
    <w:rsid w:val="0007299C"/>
    <w:rsid w:val="0007490B"/>
    <w:rsid w:val="00075B32"/>
    <w:rsid w:val="0007655E"/>
    <w:rsid w:val="00076663"/>
    <w:rsid w:val="00076838"/>
    <w:rsid w:val="000776A6"/>
    <w:rsid w:val="0007778B"/>
    <w:rsid w:val="00081340"/>
    <w:rsid w:val="00082519"/>
    <w:rsid w:val="00082C6F"/>
    <w:rsid w:val="00083AEC"/>
    <w:rsid w:val="00084436"/>
    <w:rsid w:val="00084836"/>
    <w:rsid w:val="00087058"/>
    <w:rsid w:val="000913A1"/>
    <w:rsid w:val="00091434"/>
    <w:rsid w:val="00092120"/>
    <w:rsid w:val="00093AEC"/>
    <w:rsid w:val="00093C81"/>
    <w:rsid w:val="00093D3B"/>
    <w:rsid w:val="00094575"/>
    <w:rsid w:val="000A15FB"/>
    <w:rsid w:val="000A1651"/>
    <w:rsid w:val="000A1CE4"/>
    <w:rsid w:val="000A2BDB"/>
    <w:rsid w:val="000A3096"/>
    <w:rsid w:val="000A49CC"/>
    <w:rsid w:val="000A52ED"/>
    <w:rsid w:val="000A54C8"/>
    <w:rsid w:val="000A6852"/>
    <w:rsid w:val="000B3C10"/>
    <w:rsid w:val="000B3F36"/>
    <w:rsid w:val="000B3F6A"/>
    <w:rsid w:val="000B43E5"/>
    <w:rsid w:val="000B50B2"/>
    <w:rsid w:val="000C1B25"/>
    <w:rsid w:val="000C2592"/>
    <w:rsid w:val="000C31D4"/>
    <w:rsid w:val="000C4EF7"/>
    <w:rsid w:val="000C4F3C"/>
    <w:rsid w:val="000C5510"/>
    <w:rsid w:val="000C5D20"/>
    <w:rsid w:val="000C5F24"/>
    <w:rsid w:val="000D015E"/>
    <w:rsid w:val="000D0D2A"/>
    <w:rsid w:val="000D0F4C"/>
    <w:rsid w:val="000D2AEC"/>
    <w:rsid w:val="000D2CA3"/>
    <w:rsid w:val="000D51A2"/>
    <w:rsid w:val="000D51C3"/>
    <w:rsid w:val="000D7161"/>
    <w:rsid w:val="000D7172"/>
    <w:rsid w:val="000D7327"/>
    <w:rsid w:val="000D7338"/>
    <w:rsid w:val="000E18E3"/>
    <w:rsid w:val="000E1E0E"/>
    <w:rsid w:val="000E1FEE"/>
    <w:rsid w:val="000E21AA"/>
    <w:rsid w:val="000E25A6"/>
    <w:rsid w:val="000E2769"/>
    <w:rsid w:val="000E3AE2"/>
    <w:rsid w:val="000E4D6D"/>
    <w:rsid w:val="000E6A5D"/>
    <w:rsid w:val="000E6E77"/>
    <w:rsid w:val="000E79B3"/>
    <w:rsid w:val="000F01F0"/>
    <w:rsid w:val="000F1612"/>
    <w:rsid w:val="000F201C"/>
    <w:rsid w:val="000F2875"/>
    <w:rsid w:val="000F2C6F"/>
    <w:rsid w:val="000F2CEF"/>
    <w:rsid w:val="000F5669"/>
    <w:rsid w:val="000F5C42"/>
    <w:rsid w:val="000F5CB8"/>
    <w:rsid w:val="000F5E99"/>
    <w:rsid w:val="000F67A6"/>
    <w:rsid w:val="000F6955"/>
    <w:rsid w:val="000F716F"/>
    <w:rsid w:val="000F7199"/>
    <w:rsid w:val="000F7DDD"/>
    <w:rsid w:val="001002EE"/>
    <w:rsid w:val="0010132B"/>
    <w:rsid w:val="001020CE"/>
    <w:rsid w:val="00102A7E"/>
    <w:rsid w:val="0010346B"/>
    <w:rsid w:val="001038B8"/>
    <w:rsid w:val="00103C4A"/>
    <w:rsid w:val="0010427C"/>
    <w:rsid w:val="001056B1"/>
    <w:rsid w:val="001062A5"/>
    <w:rsid w:val="00106C5D"/>
    <w:rsid w:val="00107BA9"/>
    <w:rsid w:val="001100E9"/>
    <w:rsid w:val="001141FB"/>
    <w:rsid w:val="001143D9"/>
    <w:rsid w:val="00114513"/>
    <w:rsid w:val="00114F40"/>
    <w:rsid w:val="001171F0"/>
    <w:rsid w:val="00120501"/>
    <w:rsid w:val="00120F9E"/>
    <w:rsid w:val="00120FF5"/>
    <w:rsid w:val="00121CC5"/>
    <w:rsid w:val="001221B2"/>
    <w:rsid w:val="001224D9"/>
    <w:rsid w:val="00123775"/>
    <w:rsid w:val="00123BE5"/>
    <w:rsid w:val="00124239"/>
    <w:rsid w:val="00124350"/>
    <w:rsid w:val="00124CEB"/>
    <w:rsid w:val="0012621D"/>
    <w:rsid w:val="001274B5"/>
    <w:rsid w:val="0012787B"/>
    <w:rsid w:val="00130463"/>
    <w:rsid w:val="00130873"/>
    <w:rsid w:val="00130F35"/>
    <w:rsid w:val="00131DD1"/>
    <w:rsid w:val="00132341"/>
    <w:rsid w:val="0013328C"/>
    <w:rsid w:val="001334F0"/>
    <w:rsid w:val="001335F8"/>
    <w:rsid w:val="00134383"/>
    <w:rsid w:val="001349AA"/>
    <w:rsid w:val="00135C7D"/>
    <w:rsid w:val="0013622E"/>
    <w:rsid w:val="00136311"/>
    <w:rsid w:val="00136541"/>
    <w:rsid w:val="00140464"/>
    <w:rsid w:val="00142017"/>
    <w:rsid w:val="00143263"/>
    <w:rsid w:val="00143BF6"/>
    <w:rsid w:val="00144310"/>
    <w:rsid w:val="00144BBB"/>
    <w:rsid w:val="001468DD"/>
    <w:rsid w:val="00146E96"/>
    <w:rsid w:val="00147C4F"/>
    <w:rsid w:val="0015082C"/>
    <w:rsid w:val="00150C78"/>
    <w:rsid w:val="00150E9B"/>
    <w:rsid w:val="00151C76"/>
    <w:rsid w:val="00152873"/>
    <w:rsid w:val="001537AD"/>
    <w:rsid w:val="0015389E"/>
    <w:rsid w:val="00153F99"/>
    <w:rsid w:val="00154B97"/>
    <w:rsid w:val="00154F40"/>
    <w:rsid w:val="00154F4F"/>
    <w:rsid w:val="0015707A"/>
    <w:rsid w:val="0015716A"/>
    <w:rsid w:val="001578E3"/>
    <w:rsid w:val="00157FF6"/>
    <w:rsid w:val="00160FF7"/>
    <w:rsid w:val="00161C73"/>
    <w:rsid w:val="0016324F"/>
    <w:rsid w:val="00163B75"/>
    <w:rsid w:val="001642D3"/>
    <w:rsid w:val="0016530C"/>
    <w:rsid w:val="0016532D"/>
    <w:rsid w:val="001657CF"/>
    <w:rsid w:val="001663B6"/>
    <w:rsid w:val="001667EE"/>
    <w:rsid w:val="0017018C"/>
    <w:rsid w:val="001706F7"/>
    <w:rsid w:val="00170ADF"/>
    <w:rsid w:val="001713C4"/>
    <w:rsid w:val="001714D6"/>
    <w:rsid w:val="0017161E"/>
    <w:rsid w:val="00172184"/>
    <w:rsid w:val="00172B6B"/>
    <w:rsid w:val="00172F06"/>
    <w:rsid w:val="001737E8"/>
    <w:rsid w:val="00174AA5"/>
    <w:rsid w:val="00174F9E"/>
    <w:rsid w:val="00176736"/>
    <w:rsid w:val="00176A7D"/>
    <w:rsid w:val="00176E5C"/>
    <w:rsid w:val="001775FD"/>
    <w:rsid w:val="00177FA6"/>
    <w:rsid w:val="001814F0"/>
    <w:rsid w:val="00181B19"/>
    <w:rsid w:val="00181C88"/>
    <w:rsid w:val="0018213E"/>
    <w:rsid w:val="00182F0E"/>
    <w:rsid w:val="00183ACC"/>
    <w:rsid w:val="00183AD4"/>
    <w:rsid w:val="00183BCF"/>
    <w:rsid w:val="001842E1"/>
    <w:rsid w:val="00185001"/>
    <w:rsid w:val="00186AC4"/>
    <w:rsid w:val="0018742A"/>
    <w:rsid w:val="001918F1"/>
    <w:rsid w:val="00192208"/>
    <w:rsid w:val="00192FC9"/>
    <w:rsid w:val="001933F4"/>
    <w:rsid w:val="00195BAF"/>
    <w:rsid w:val="00196F65"/>
    <w:rsid w:val="001978CB"/>
    <w:rsid w:val="001A012A"/>
    <w:rsid w:val="001A2878"/>
    <w:rsid w:val="001A3432"/>
    <w:rsid w:val="001A44F6"/>
    <w:rsid w:val="001A5197"/>
    <w:rsid w:val="001A6502"/>
    <w:rsid w:val="001A666A"/>
    <w:rsid w:val="001A6E50"/>
    <w:rsid w:val="001A71F3"/>
    <w:rsid w:val="001B0106"/>
    <w:rsid w:val="001B072F"/>
    <w:rsid w:val="001B0970"/>
    <w:rsid w:val="001B1B33"/>
    <w:rsid w:val="001B777E"/>
    <w:rsid w:val="001C3B33"/>
    <w:rsid w:val="001C5240"/>
    <w:rsid w:val="001C546F"/>
    <w:rsid w:val="001C67AC"/>
    <w:rsid w:val="001D1441"/>
    <w:rsid w:val="001D1F91"/>
    <w:rsid w:val="001D37CD"/>
    <w:rsid w:val="001D453A"/>
    <w:rsid w:val="001D52B8"/>
    <w:rsid w:val="001D5CED"/>
    <w:rsid w:val="001D66BB"/>
    <w:rsid w:val="001D6893"/>
    <w:rsid w:val="001D69C2"/>
    <w:rsid w:val="001D69D7"/>
    <w:rsid w:val="001D6E71"/>
    <w:rsid w:val="001D72A4"/>
    <w:rsid w:val="001D7D20"/>
    <w:rsid w:val="001E0D40"/>
    <w:rsid w:val="001E227C"/>
    <w:rsid w:val="001E2289"/>
    <w:rsid w:val="001E2744"/>
    <w:rsid w:val="001E3E63"/>
    <w:rsid w:val="001E44D7"/>
    <w:rsid w:val="001E53AC"/>
    <w:rsid w:val="001E5D18"/>
    <w:rsid w:val="001F0847"/>
    <w:rsid w:val="001F1483"/>
    <w:rsid w:val="001F18E1"/>
    <w:rsid w:val="001F2432"/>
    <w:rsid w:val="001F2F32"/>
    <w:rsid w:val="001F3756"/>
    <w:rsid w:val="001F4BE8"/>
    <w:rsid w:val="001F5D32"/>
    <w:rsid w:val="001F774B"/>
    <w:rsid w:val="00200699"/>
    <w:rsid w:val="00200881"/>
    <w:rsid w:val="00200A42"/>
    <w:rsid w:val="00200C61"/>
    <w:rsid w:val="00202515"/>
    <w:rsid w:val="00204087"/>
    <w:rsid w:val="002057E1"/>
    <w:rsid w:val="00205EDC"/>
    <w:rsid w:val="00206022"/>
    <w:rsid w:val="002076CC"/>
    <w:rsid w:val="00211E8F"/>
    <w:rsid w:val="00211F10"/>
    <w:rsid w:val="00212761"/>
    <w:rsid w:val="00213B5D"/>
    <w:rsid w:val="00214993"/>
    <w:rsid w:val="002153B2"/>
    <w:rsid w:val="00215740"/>
    <w:rsid w:val="00215AF0"/>
    <w:rsid w:val="00216B21"/>
    <w:rsid w:val="0021741E"/>
    <w:rsid w:val="00217429"/>
    <w:rsid w:val="0022002C"/>
    <w:rsid w:val="00220920"/>
    <w:rsid w:val="00220B50"/>
    <w:rsid w:val="00220D86"/>
    <w:rsid w:val="002219F4"/>
    <w:rsid w:val="0022291A"/>
    <w:rsid w:val="00222FD7"/>
    <w:rsid w:val="00223927"/>
    <w:rsid w:val="002254CD"/>
    <w:rsid w:val="00225923"/>
    <w:rsid w:val="002266CE"/>
    <w:rsid w:val="00227CF1"/>
    <w:rsid w:val="00230DF0"/>
    <w:rsid w:val="00231823"/>
    <w:rsid w:val="00234042"/>
    <w:rsid w:val="00234799"/>
    <w:rsid w:val="00234EBB"/>
    <w:rsid w:val="00236CD6"/>
    <w:rsid w:val="00236EA7"/>
    <w:rsid w:val="00236F36"/>
    <w:rsid w:val="002412F9"/>
    <w:rsid w:val="00243A2F"/>
    <w:rsid w:val="00244D4C"/>
    <w:rsid w:val="00245FC5"/>
    <w:rsid w:val="00246841"/>
    <w:rsid w:val="00250456"/>
    <w:rsid w:val="00252F92"/>
    <w:rsid w:val="0025359F"/>
    <w:rsid w:val="002538DA"/>
    <w:rsid w:val="00253EEF"/>
    <w:rsid w:val="00254387"/>
    <w:rsid w:val="002545FE"/>
    <w:rsid w:val="00257124"/>
    <w:rsid w:val="002575A1"/>
    <w:rsid w:val="00261B9D"/>
    <w:rsid w:val="00262702"/>
    <w:rsid w:val="00262790"/>
    <w:rsid w:val="00265FB0"/>
    <w:rsid w:val="00266002"/>
    <w:rsid w:val="002660D7"/>
    <w:rsid w:val="00266294"/>
    <w:rsid w:val="00266475"/>
    <w:rsid w:val="00266CDF"/>
    <w:rsid w:val="00271DBA"/>
    <w:rsid w:val="0027312D"/>
    <w:rsid w:val="002754C3"/>
    <w:rsid w:val="00277DB8"/>
    <w:rsid w:val="0028000C"/>
    <w:rsid w:val="00280416"/>
    <w:rsid w:val="00283626"/>
    <w:rsid w:val="00283C05"/>
    <w:rsid w:val="00283F77"/>
    <w:rsid w:val="002844D8"/>
    <w:rsid w:val="002844DB"/>
    <w:rsid w:val="00284E3A"/>
    <w:rsid w:val="00285BD4"/>
    <w:rsid w:val="00286002"/>
    <w:rsid w:val="00286B7A"/>
    <w:rsid w:val="00287EFE"/>
    <w:rsid w:val="00290535"/>
    <w:rsid w:val="00290536"/>
    <w:rsid w:val="0029076D"/>
    <w:rsid w:val="00290BC7"/>
    <w:rsid w:val="00293E15"/>
    <w:rsid w:val="00294A9D"/>
    <w:rsid w:val="00295818"/>
    <w:rsid w:val="002A350C"/>
    <w:rsid w:val="002A4501"/>
    <w:rsid w:val="002A4AED"/>
    <w:rsid w:val="002A625D"/>
    <w:rsid w:val="002B0B16"/>
    <w:rsid w:val="002B1B14"/>
    <w:rsid w:val="002B36E5"/>
    <w:rsid w:val="002B3964"/>
    <w:rsid w:val="002B4813"/>
    <w:rsid w:val="002C1178"/>
    <w:rsid w:val="002C25D0"/>
    <w:rsid w:val="002C3464"/>
    <w:rsid w:val="002C3A10"/>
    <w:rsid w:val="002C59D2"/>
    <w:rsid w:val="002C62B0"/>
    <w:rsid w:val="002C6603"/>
    <w:rsid w:val="002C684C"/>
    <w:rsid w:val="002C6F5B"/>
    <w:rsid w:val="002D2340"/>
    <w:rsid w:val="002D2428"/>
    <w:rsid w:val="002D329B"/>
    <w:rsid w:val="002D3C4C"/>
    <w:rsid w:val="002D4ED2"/>
    <w:rsid w:val="002D6CD3"/>
    <w:rsid w:val="002D7270"/>
    <w:rsid w:val="002D7DFD"/>
    <w:rsid w:val="002D7E9E"/>
    <w:rsid w:val="002E0559"/>
    <w:rsid w:val="002E2F50"/>
    <w:rsid w:val="002E3A91"/>
    <w:rsid w:val="002E575C"/>
    <w:rsid w:val="002E6EC8"/>
    <w:rsid w:val="002F0730"/>
    <w:rsid w:val="002F2A2D"/>
    <w:rsid w:val="002F2B00"/>
    <w:rsid w:val="002F37E9"/>
    <w:rsid w:val="002F4991"/>
    <w:rsid w:val="002F50B7"/>
    <w:rsid w:val="002F6962"/>
    <w:rsid w:val="002F6B28"/>
    <w:rsid w:val="002F6C19"/>
    <w:rsid w:val="0030052B"/>
    <w:rsid w:val="00301C77"/>
    <w:rsid w:val="00301F04"/>
    <w:rsid w:val="003020A5"/>
    <w:rsid w:val="003050B7"/>
    <w:rsid w:val="0030667F"/>
    <w:rsid w:val="00306B09"/>
    <w:rsid w:val="00310064"/>
    <w:rsid w:val="00310E06"/>
    <w:rsid w:val="003115C9"/>
    <w:rsid w:val="00314191"/>
    <w:rsid w:val="00314306"/>
    <w:rsid w:val="003147AA"/>
    <w:rsid w:val="00315206"/>
    <w:rsid w:val="00320552"/>
    <w:rsid w:val="003208FE"/>
    <w:rsid w:val="0032148F"/>
    <w:rsid w:val="0032154B"/>
    <w:rsid w:val="0032195C"/>
    <w:rsid w:val="00321EF0"/>
    <w:rsid w:val="00325039"/>
    <w:rsid w:val="00326A67"/>
    <w:rsid w:val="00331E52"/>
    <w:rsid w:val="00333055"/>
    <w:rsid w:val="00335341"/>
    <w:rsid w:val="00335C3C"/>
    <w:rsid w:val="003375E8"/>
    <w:rsid w:val="00340D21"/>
    <w:rsid w:val="00343277"/>
    <w:rsid w:val="00343F05"/>
    <w:rsid w:val="0034530A"/>
    <w:rsid w:val="00345AF4"/>
    <w:rsid w:val="00345ECE"/>
    <w:rsid w:val="003463B9"/>
    <w:rsid w:val="00350138"/>
    <w:rsid w:val="00350AE4"/>
    <w:rsid w:val="00350C7F"/>
    <w:rsid w:val="00353254"/>
    <w:rsid w:val="00357416"/>
    <w:rsid w:val="0036179F"/>
    <w:rsid w:val="003630D2"/>
    <w:rsid w:val="0036391C"/>
    <w:rsid w:val="00363CE0"/>
    <w:rsid w:val="00364EF9"/>
    <w:rsid w:val="003652DC"/>
    <w:rsid w:val="003678E1"/>
    <w:rsid w:val="00367EDD"/>
    <w:rsid w:val="00370FD9"/>
    <w:rsid w:val="0037100B"/>
    <w:rsid w:val="003724F7"/>
    <w:rsid w:val="003726B3"/>
    <w:rsid w:val="0037437B"/>
    <w:rsid w:val="00377A60"/>
    <w:rsid w:val="00377A8B"/>
    <w:rsid w:val="0038019D"/>
    <w:rsid w:val="003817FB"/>
    <w:rsid w:val="0038181C"/>
    <w:rsid w:val="00384050"/>
    <w:rsid w:val="00385351"/>
    <w:rsid w:val="003856DC"/>
    <w:rsid w:val="003869ED"/>
    <w:rsid w:val="00387283"/>
    <w:rsid w:val="003877C3"/>
    <w:rsid w:val="00391CAE"/>
    <w:rsid w:val="00392D08"/>
    <w:rsid w:val="00392E2D"/>
    <w:rsid w:val="00395F13"/>
    <w:rsid w:val="0039764A"/>
    <w:rsid w:val="00397686"/>
    <w:rsid w:val="00397767"/>
    <w:rsid w:val="003A04FB"/>
    <w:rsid w:val="003A2721"/>
    <w:rsid w:val="003A34D4"/>
    <w:rsid w:val="003A43EB"/>
    <w:rsid w:val="003A4F6D"/>
    <w:rsid w:val="003A5599"/>
    <w:rsid w:val="003A571C"/>
    <w:rsid w:val="003A6834"/>
    <w:rsid w:val="003A7814"/>
    <w:rsid w:val="003B01B2"/>
    <w:rsid w:val="003B03D7"/>
    <w:rsid w:val="003B10EB"/>
    <w:rsid w:val="003B12DD"/>
    <w:rsid w:val="003B16C5"/>
    <w:rsid w:val="003B34F0"/>
    <w:rsid w:val="003B51D3"/>
    <w:rsid w:val="003B5C4F"/>
    <w:rsid w:val="003B5E14"/>
    <w:rsid w:val="003B76B3"/>
    <w:rsid w:val="003B7F77"/>
    <w:rsid w:val="003C309D"/>
    <w:rsid w:val="003C397B"/>
    <w:rsid w:val="003C3996"/>
    <w:rsid w:val="003C3DB8"/>
    <w:rsid w:val="003C4E00"/>
    <w:rsid w:val="003D1CC5"/>
    <w:rsid w:val="003D4B1B"/>
    <w:rsid w:val="003D50F3"/>
    <w:rsid w:val="003D54E9"/>
    <w:rsid w:val="003D657D"/>
    <w:rsid w:val="003E1AFF"/>
    <w:rsid w:val="003E313C"/>
    <w:rsid w:val="003E3DD1"/>
    <w:rsid w:val="003E5A97"/>
    <w:rsid w:val="003E5E6B"/>
    <w:rsid w:val="003E6413"/>
    <w:rsid w:val="003E6B7D"/>
    <w:rsid w:val="003E73F8"/>
    <w:rsid w:val="003F0D6E"/>
    <w:rsid w:val="003F1C93"/>
    <w:rsid w:val="003F269F"/>
    <w:rsid w:val="003F27DA"/>
    <w:rsid w:val="003F78D5"/>
    <w:rsid w:val="003F7C23"/>
    <w:rsid w:val="003F7F1A"/>
    <w:rsid w:val="0040288F"/>
    <w:rsid w:val="004050F3"/>
    <w:rsid w:val="00405182"/>
    <w:rsid w:val="004068A2"/>
    <w:rsid w:val="00410F90"/>
    <w:rsid w:val="00411588"/>
    <w:rsid w:val="004120C2"/>
    <w:rsid w:val="00412277"/>
    <w:rsid w:val="00413171"/>
    <w:rsid w:val="00415C8F"/>
    <w:rsid w:val="00416E51"/>
    <w:rsid w:val="00417D01"/>
    <w:rsid w:val="00420F54"/>
    <w:rsid w:val="00421656"/>
    <w:rsid w:val="00422329"/>
    <w:rsid w:val="0042495E"/>
    <w:rsid w:val="00424C81"/>
    <w:rsid w:val="00425144"/>
    <w:rsid w:val="00425D7A"/>
    <w:rsid w:val="004271DA"/>
    <w:rsid w:val="0042775F"/>
    <w:rsid w:val="00427AB4"/>
    <w:rsid w:val="0043015E"/>
    <w:rsid w:val="004318EE"/>
    <w:rsid w:val="00434705"/>
    <w:rsid w:val="0043528B"/>
    <w:rsid w:val="004353F0"/>
    <w:rsid w:val="004362FA"/>
    <w:rsid w:val="00436841"/>
    <w:rsid w:val="00436C43"/>
    <w:rsid w:val="00436ED9"/>
    <w:rsid w:val="004378D0"/>
    <w:rsid w:val="00440789"/>
    <w:rsid w:val="00441245"/>
    <w:rsid w:val="00441B40"/>
    <w:rsid w:val="00441F39"/>
    <w:rsid w:val="0044368E"/>
    <w:rsid w:val="00443F21"/>
    <w:rsid w:val="00445716"/>
    <w:rsid w:val="00446D98"/>
    <w:rsid w:val="0044752C"/>
    <w:rsid w:val="00451261"/>
    <w:rsid w:val="004512B7"/>
    <w:rsid w:val="004528B9"/>
    <w:rsid w:val="004536CA"/>
    <w:rsid w:val="004571DD"/>
    <w:rsid w:val="004601B8"/>
    <w:rsid w:val="00460724"/>
    <w:rsid w:val="00462069"/>
    <w:rsid w:val="00463FF7"/>
    <w:rsid w:val="00464246"/>
    <w:rsid w:val="00464B10"/>
    <w:rsid w:val="00466825"/>
    <w:rsid w:val="004674E2"/>
    <w:rsid w:val="0047080E"/>
    <w:rsid w:val="00470CC0"/>
    <w:rsid w:val="0047200C"/>
    <w:rsid w:val="00472EDA"/>
    <w:rsid w:val="00475471"/>
    <w:rsid w:val="0047559A"/>
    <w:rsid w:val="0047583D"/>
    <w:rsid w:val="00475B8E"/>
    <w:rsid w:val="004772E2"/>
    <w:rsid w:val="00477736"/>
    <w:rsid w:val="00477C87"/>
    <w:rsid w:val="00481862"/>
    <w:rsid w:val="0048220A"/>
    <w:rsid w:val="004828C1"/>
    <w:rsid w:val="00482EF0"/>
    <w:rsid w:val="00485458"/>
    <w:rsid w:val="004862B2"/>
    <w:rsid w:val="00490DD9"/>
    <w:rsid w:val="00492AFE"/>
    <w:rsid w:val="00493555"/>
    <w:rsid w:val="00494CB6"/>
    <w:rsid w:val="004959B2"/>
    <w:rsid w:val="00496B9A"/>
    <w:rsid w:val="004975ED"/>
    <w:rsid w:val="004A01BA"/>
    <w:rsid w:val="004A120C"/>
    <w:rsid w:val="004A1254"/>
    <w:rsid w:val="004A1715"/>
    <w:rsid w:val="004A1BD4"/>
    <w:rsid w:val="004A37CB"/>
    <w:rsid w:val="004A391B"/>
    <w:rsid w:val="004A40DA"/>
    <w:rsid w:val="004A40F7"/>
    <w:rsid w:val="004A590A"/>
    <w:rsid w:val="004A6771"/>
    <w:rsid w:val="004B3FAF"/>
    <w:rsid w:val="004B5BF3"/>
    <w:rsid w:val="004B7810"/>
    <w:rsid w:val="004B7EAF"/>
    <w:rsid w:val="004C027D"/>
    <w:rsid w:val="004C3DD5"/>
    <w:rsid w:val="004C3F14"/>
    <w:rsid w:val="004C57B1"/>
    <w:rsid w:val="004C6ACD"/>
    <w:rsid w:val="004C7DB3"/>
    <w:rsid w:val="004C7FA0"/>
    <w:rsid w:val="004D070E"/>
    <w:rsid w:val="004D08E2"/>
    <w:rsid w:val="004D0AF1"/>
    <w:rsid w:val="004D0CBE"/>
    <w:rsid w:val="004D1295"/>
    <w:rsid w:val="004D28DB"/>
    <w:rsid w:val="004D3529"/>
    <w:rsid w:val="004D4371"/>
    <w:rsid w:val="004D4A27"/>
    <w:rsid w:val="004D4FB6"/>
    <w:rsid w:val="004D64E8"/>
    <w:rsid w:val="004E0EFC"/>
    <w:rsid w:val="004E211E"/>
    <w:rsid w:val="004E2391"/>
    <w:rsid w:val="004E4F82"/>
    <w:rsid w:val="004E5A29"/>
    <w:rsid w:val="004E635A"/>
    <w:rsid w:val="004E68FF"/>
    <w:rsid w:val="004E6A3F"/>
    <w:rsid w:val="004E7314"/>
    <w:rsid w:val="004F108A"/>
    <w:rsid w:val="004F39CD"/>
    <w:rsid w:val="004F56BF"/>
    <w:rsid w:val="004F5AAA"/>
    <w:rsid w:val="004F5DAA"/>
    <w:rsid w:val="00501804"/>
    <w:rsid w:val="00502EAF"/>
    <w:rsid w:val="005066E4"/>
    <w:rsid w:val="00506C90"/>
    <w:rsid w:val="00506E3A"/>
    <w:rsid w:val="00510789"/>
    <w:rsid w:val="005115ED"/>
    <w:rsid w:val="005122A0"/>
    <w:rsid w:val="00512644"/>
    <w:rsid w:val="00513FA6"/>
    <w:rsid w:val="005141F7"/>
    <w:rsid w:val="00515407"/>
    <w:rsid w:val="00515999"/>
    <w:rsid w:val="005159C5"/>
    <w:rsid w:val="00515F68"/>
    <w:rsid w:val="005166F9"/>
    <w:rsid w:val="00516731"/>
    <w:rsid w:val="00521B6C"/>
    <w:rsid w:val="00521DE9"/>
    <w:rsid w:val="005226B3"/>
    <w:rsid w:val="00522830"/>
    <w:rsid w:val="00523472"/>
    <w:rsid w:val="00524616"/>
    <w:rsid w:val="005256B7"/>
    <w:rsid w:val="005259AB"/>
    <w:rsid w:val="00531172"/>
    <w:rsid w:val="005319A8"/>
    <w:rsid w:val="00531E9A"/>
    <w:rsid w:val="00532B3F"/>
    <w:rsid w:val="005340B0"/>
    <w:rsid w:val="00534EE4"/>
    <w:rsid w:val="005356BE"/>
    <w:rsid w:val="0053698F"/>
    <w:rsid w:val="00536C71"/>
    <w:rsid w:val="0053762B"/>
    <w:rsid w:val="005377C7"/>
    <w:rsid w:val="0054036D"/>
    <w:rsid w:val="00540A65"/>
    <w:rsid w:val="00540B67"/>
    <w:rsid w:val="00541096"/>
    <w:rsid w:val="00541862"/>
    <w:rsid w:val="00543665"/>
    <w:rsid w:val="0054368E"/>
    <w:rsid w:val="00544863"/>
    <w:rsid w:val="00544E7D"/>
    <w:rsid w:val="005452BB"/>
    <w:rsid w:val="005454CB"/>
    <w:rsid w:val="00545AD1"/>
    <w:rsid w:val="0054604B"/>
    <w:rsid w:val="00550E3D"/>
    <w:rsid w:val="00551122"/>
    <w:rsid w:val="005530E3"/>
    <w:rsid w:val="00554330"/>
    <w:rsid w:val="00555B6A"/>
    <w:rsid w:val="005578C7"/>
    <w:rsid w:val="00557A2B"/>
    <w:rsid w:val="00557CC2"/>
    <w:rsid w:val="00557FDE"/>
    <w:rsid w:val="005608AA"/>
    <w:rsid w:val="00560A1C"/>
    <w:rsid w:val="0056117D"/>
    <w:rsid w:val="00561938"/>
    <w:rsid w:val="00562068"/>
    <w:rsid w:val="005631ED"/>
    <w:rsid w:val="00565C25"/>
    <w:rsid w:val="005661FA"/>
    <w:rsid w:val="00566E2A"/>
    <w:rsid w:val="00567458"/>
    <w:rsid w:val="005708EE"/>
    <w:rsid w:val="00572329"/>
    <w:rsid w:val="00573699"/>
    <w:rsid w:val="005761D1"/>
    <w:rsid w:val="00576422"/>
    <w:rsid w:val="00580372"/>
    <w:rsid w:val="0058049B"/>
    <w:rsid w:val="00580B1C"/>
    <w:rsid w:val="00581C63"/>
    <w:rsid w:val="00582418"/>
    <w:rsid w:val="0058243B"/>
    <w:rsid w:val="00583FF9"/>
    <w:rsid w:val="00584AF8"/>
    <w:rsid w:val="00585F7E"/>
    <w:rsid w:val="0058611B"/>
    <w:rsid w:val="00586431"/>
    <w:rsid w:val="00587404"/>
    <w:rsid w:val="0058782E"/>
    <w:rsid w:val="005878DA"/>
    <w:rsid w:val="0059038E"/>
    <w:rsid w:val="005904AA"/>
    <w:rsid w:val="00591136"/>
    <w:rsid w:val="005917BF"/>
    <w:rsid w:val="00592AB5"/>
    <w:rsid w:val="00593162"/>
    <w:rsid w:val="005931EE"/>
    <w:rsid w:val="0059328B"/>
    <w:rsid w:val="005933D8"/>
    <w:rsid w:val="0059551D"/>
    <w:rsid w:val="00595FAF"/>
    <w:rsid w:val="005A0B1B"/>
    <w:rsid w:val="005A0BB8"/>
    <w:rsid w:val="005A14B5"/>
    <w:rsid w:val="005A4256"/>
    <w:rsid w:val="005A4F39"/>
    <w:rsid w:val="005A5D91"/>
    <w:rsid w:val="005A6788"/>
    <w:rsid w:val="005B0CA1"/>
    <w:rsid w:val="005B128F"/>
    <w:rsid w:val="005B1616"/>
    <w:rsid w:val="005B1884"/>
    <w:rsid w:val="005B19D3"/>
    <w:rsid w:val="005B2B04"/>
    <w:rsid w:val="005B4890"/>
    <w:rsid w:val="005B583B"/>
    <w:rsid w:val="005B7DEF"/>
    <w:rsid w:val="005C199D"/>
    <w:rsid w:val="005C2998"/>
    <w:rsid w:val="005C2A31"/>
    <w:rsid w:val="005C3410"/>
    <w:rsid w:val="005C3649"/>
    <w:rsid w:val="005C5999"/>
    <w:rsid w:val="005C5B45"/>
    <w:rsid w:val="005C7794"/>
    <w:rsid w:val="005D0BD0"/>
    <w:rsid w:val="005D2253"/>
    <w:rsid w:val="005D2EC5"/>
    <w:rsid w:val="005D569C"/>
    <w:rsid w:val="005D6270"/>
    <w:rsid w:val="005D6A4A"/>
    <w:rsid w:val="005E026C"/>
    <w:rsid w:val="005E1635"/>
    <w:rsid w:val="005E2226"/>
    <w:rsid w:val="005E2256"/>
    <w:rsid w:val="005E6C70"/>
    <w:rsid w:val="005E7A2D"/>
    <w:rsid w:val="005F0774"/>
    <w:rsid w:val="005F0816"/>
    <w:rsid w:val="005F0D99"/>
    <w:rsid w:val="005F12D6"/>
    <w:rsid w:val="005F15F2"/>
    <w:rsid w:val="005F18D8"/>
    <w:rsid w:val="005F1D92"/>
    <w:rsid w:val="005F1F22"/>
    <w:rsid w:val="005F2199"/>
    <w:rsid w:val="005F300A"/>
    <w:rsid w:val="005F4BF2"/>
    <w:rsid w:val="005F6484"/>
    <w:rsid w:val="005F6AA8"/>
    <w:rsid w:val="00600620"/>
    <w:rsid w:val="00601735"/>
    <w:rsid w:val="00601752"/>
    <w:rsid w:val="00601C10"/>
    <w:rsid w:val="006039A0"/>
    <w:rsid w:val="0060483A"/>
    <w:rsid w:val="006051AA"/>
    <w:rsid w:val="00605887"/>
    <w:rsid w:val="00605E95"/>
    <w:rsid w:val="00605EA2"/>
    <w:rsid w:val="00605F8A"/>
    <w:rsid w:val="00606EEB"/>
    <w:rsid w:val="006071F7"/>
    <w:rsid w:val="00607351"/>
    <w:rsid w:val="0061015C"/>
    <w:rsid w:val="0061043C"/>
    <w:rsid w:val="0061185F"/>
    <w:rsid w:val="006123FC"/>
    <w:rsid w:val="00612AC5"/>
    <w:rsid w:val="00612F9C"/>
    <w:rsid w:val="00613B7E"/>
    <w:rsid w:val="00613E83"/>
    <w:rsid w:val="00617482"/>
    <w:rsid w:val="0062087F"/>
    <w:rsid w:val="00621CB1"/>
    <w:rsid w:val="00621E04"/>
    <w:rsid w:val="006232A7"/>
    <w:rsid w:val="00624AD8"/>
    <w:rsid w:val="00625BA6"/>
    <w:rsid w:val="006267A7"/>
    <w:rsid w:val="00634312"/>
    <w:rsid w:val="00635143"/>
    <w:rsid w:val="0063567E"/>
    <w:rsid w:val="006375ED"/>
    <w:rsid w:val="00637F40"/>
    <w:rsid w:val="006400AA"/>
    <w:rsid w:val="006404C1"/>
    <w:rsid w:val="006423A6"/>
    <w:rsid w:val="006423A7"/>
    <w:rsid w:val="00642DD3"/>
    <w:rsid w:val="00643694"/>
    <w:rsid w:val="006447C7"/>
    <w:rsid w:val="00645A8D"/>
    <w:rsid w:val="006500AF"/>
    <w:rsid w:val="00650F56"/>
    <w:rsid w:val="006515A5"/>
    <w:rsid w:val="00651FB4"/>
    <w:rsid w:val="00652207"/>
    <w:rsid w:val="00652F03"/>
    <w:rsid w:val="006579CB"/>
    <w:rsid w:val="00660EE8"/>
    <w:rsid w:val="006614E7"/>
    <w:rsid w:val="00661D3A"/>
    <w:rsid w:val="00662DBC"/>
    <w:rsid w:val="00663583"/>
    <w:rsid w:val="00663861"/>
    <w:rsid w:val="00672C6E"/>
    <w:rsid w:val="006731A3"/>
    <w:rsid w:val="00677285"/>
    <w:rsid w:val="0067738D"/>
    <w:rsid w:val="00682E72"/>
    <w:rsid w:val="00683271"/>
    <w:rsid w:val="00684F1C"/>
    <w:rsid w:val="00685CDD"/>
    <w:rsid w:val="00687788"/>
    <w:rsid w:val="00690A33"/>
    <w:rsid w:val="00691528"/>
    <w:rsid w:val="0069161D"/>
    <w:rsid w:val="006948F8"/>
    <w:rsid w:val="006950CC"/>
    <w:rsid w:val="00695A95"/>
    <w:rsid w:val="00695DB7"/>
    <w:rsid w:val="00696FE0"/>
    <w:rsid w:val="006A3E3E"/>
    <w:rsid w:val="006A4F62"/>
    <w:rsid w:val="006A617A"/>
    <w:rsid w:val="006A631B"/>
    <w:rsid w:val="006A658D"/>
    <w:rsid w:val="006A6DBB"/>
    <w:rsid w:val="006A7929"/>
    <w:rsid w:val="006B229C"/>
    <w:rsid w:val="006B2557"/>
    <w:rsid w:val="006B2E29"/>
    <w:rsid w:val="006B407E"/>
    <w:rsid w:val="006B78FE"/>
    <w:rsid w:val="006C0D89"/>
    <w:rsid w:val="006C21ED"/>
    <w:rsid w:val="006C223D"/>
    <w:rsid w:val="006C226A"/>
    <w:rsid w:val="006C2E06"/>
    <w:rsid w:val="006C4D5E"/>
    <w:rsid w:val="006C5A74"/>
    <w:rsid w:val="006C6126"/>
    <w:rsid w:val="006D0E00"/>
    <w:rsid w:val="006D1B43"/>
    <w:rsid w:val="006D28F1"/>
    <w:rsid w:val="006D33C9"/>
    <w:rsid w:val="006D3A16"/>
    <w:rsid w:val="006D3E71"/>
    <w:rsid w:val="006D4523"/>
    <w:rsid w:val="006D47F6"/>
    <w:rsid w:val="006D56C0"/>
    <w:rsid w:val="006D5CBE"/>
    <w:rsid w:val="006D6F28"/>
    <w:rsid w:val="006E2FBD"/>
    <w:rsid w:val="006E3577"/>
    <w:rsid w:val="006E379F"/>
    <w:rsid w:val="006E4048"/>
    <w:rsid w:val="006E4533"/>
    <w:rsid w:val="006E4952"/>
    <w:rsid w:val="006E499A"/>
    <w:rsid w:val="006E4B70"/>
    <w:rsid w:val="006E58EF"/>
    <w:rsid w:val="006E7195"/>
    <w:rsid w:val="006F0801"/>
    <w:rsid w:val="006F18A2"/>
    <w:rsid w:val="006F2DC2"/>
    <w:rsid w:val="006F5246"/>
    <w:rsid w:val="006F58D1"/>
    <w:rsid w:val="006F72AA"/>
    <w:rsid w:val="006F741B"/>
    <w:rsid w:val="006F7E50"/>
    <w:rsid w:val="007002DF"/>
    <w:rsid w:val="00700605"/>
    <w:rsid w:val="00703126"/>
    <w:rsid w:val="007038E5"/>
    <w:rsid w:val="0070425B"/>
    <w:rsid w:val="00704651"/>
    <w:rsid w:val="00706D36"/>
    <w:rsid w:val="00712B40"/>
    <w:rsid w:val="00713D7C"/>
    <w:rsid w:val="00713F23"/>
    <w:rsid w:val="00714469"/>
    <w:rsid w:val="00714613"/>
    <w:rsid w:val="007155AB"/>
    <w:rsid w:val="007155B3"/>
    <w:rsid w:val="007157B4"/>
    <w:rsid w:val="007162F1"/>
    <w:rsid w:val="00716E60"/>
    <w:rsid w:val="00717AA9"/>
    <w:rsid w:val="0072018C"/>
    <w:rsid w:val="007248E2"/>
    <w:rsid w:val="00724A8F"/>
    <w:rsid w:val="00724D17"/>
    <w:rsid w:val="00725C21"/>
    <w:rsid w:val="00726269"/>
    <w:rsid w:val="0072660C"/>
    <w:rsid w:val="00726D50"/>
    <w:rsid w:val="0072717E"/>
    <w:rsid w:val="0072730A"/>
    <w:rsid w:val="007275E3"/>
    <w:rsid w:val="00730B79"/>
    <w:rsid w:val="007310E6"/>
    <w:rsid w:val="00731FB3"/>
    <w:rsid w:val="00732A47"/>
    <w:rsid w:val="007333BF"/>
    <w:rsid w:val="00733496"/>
    <w:rsid w:val="00733CF2"/>
    <w:rsid w:val="00733E0F"/>
    <w:rsid w:val="00734CE8"/>
    <w:rsid w:val="00735D12"/>
    <w:rsid w:val="0073771C"/>
    <w:rsid w:val="00741479"/>
    <w:rsid w:val="007419E0"/>
    <w:rsid w:val="00742F18"/>
    <w:rsid w:val="00745A11"/>
    <w:rsid w:val="00745E9C"/>
    <w:rsid w:val="007528A4"/>
    <w:rsid w:val="007528C9"/>
    <w:rsid w:val="00753A39"/>
    <w:rsid w:val="0075430E"/>
    <w:rsid w:val="0075455F"/>
    <w:rsid w:val="00755655"/>
    <w:rsid w:val="00756B6D"/>
    <w:rsid w:val="00757BB0"/>
    <w:rsid w:val="00760025"/>
    <w:rsid w:val="007609D3"/>
    <w:rsid w:val="00760D52"/>
    <w:rsid w:val="00765536"/>
    <w:rsid w:val="00767191"/>
    <w:rsid w:val="00772D3A"/>
    <w:rsid w:val="0077315D"/>
    <w:rsid w:val="00774867"/>
    <w:rsid w:val="00774F87"/>
    <w:rsid w:val="0077513E"/>
    <w:rsid w:val="007759CB"/>
    <w:rsid w:val="00780969"/>
    <w:rsid w:val="00782808"/>
    <w:rsid w:val="007829FB"/>
    <w:rsid w:val="00782D6B"/>
    <w:rsid w:val="0079048B"/>
    <w:rsid w:val="00791A35"/>
    <w:rsid w:val="00791B96"/>
    <w:rsid w:val="007921CB"/>
    <w:rsid w:val="0079361A"/>
    <w:rsid w:val="00793A27"/>
    <w:rsid w:val="00793B3C"/>
    <w:rsid w:val="00793B91"/>
    <w:rsid w:val="00794B55"/>
    <w:rsid w:val="007A3471"/>
    <w:rsid w:val="007A359E"/>
    <w:rsid w:val="007A3E6D"/>
    <w:rsid w:val="007A6AD0"/>
    <w:rsid w:val="007A6F01"/>
    <w:rsid w:val="007A73DF"/>
    <w:rsid w:val="007B12E5"/>
    <w:rsid w:val="007B2D0D"/>
    <w:rsid w:val="007B2E8F"/>
    <w:rsid w:val="007B32AF"/>
    <w:rsid w:val="007B45ED"/>
    <w:rsid w:val="007B4876"/>
    <w:rsid w:val="007B4B67"/>
    <w:rsid w:val="007B5D19"/>
    <w:rsid w:val="007B61A5"/>
    <w:rsid w:val="007B61C5"/>
    <w:rsid w:val="007B74DF"/>
    <w:rsid w:val="007C004D"/>
    <w:rsid w:val="007C0C6A"/>
    <w:rsid w:val="007C125C"/>
    <w:rsid w:val="007C12F1"/>
    <w:rsid w:val="007C470B"/>
    <w:rsid w:val="007C47B0"/>
    <w:rsid w:val="007C4B52"/>
    <w:rsid w:val="007C4E7A"/>
    <w:rsid w:val="007C62E6"/>
    <w:rsid w:val="007C7134"/>
    <w:rsid w:val="007C721C"/>
    <w:rsid w:val="007C7643"/>
    <w:rsid w:val="007D0A3D"/>
    <w:rsid w:val="007D13FB"/>
    <w:rsid w:val="007D18FE"/>
    <w:rsid w:val="007D292B"/>
    <w:rsid w:val="007D2D3C"/>
    <w:rsid w:val="007D4809"/>
    <w:rsid w:val="007D53B2"/>
    <w:rsid w:val="007D6BFF"/>
    <w:rsid w:val="007D6D5E"/>
    <w:rsid w:val="007D6F41"/>
    <w:rsid w:val="007D7214"/>
    <w:rsid w:val="007D7587"/>
    <w:rsid w:val="007E0B2F"/>
    <w:rsid w:val="007E0BAF"/>
    <w:rsid w:val="007E3D42"/>
    <w:rsid w:val="007E5426"/>
    <w:rsid w:val="007E5B7C"/>
    <w:rsid w:val="007E6071"/>
    <w:rsid w:val="007E6B14"/>
    <w:rsid w:val="007E7C1D"/>
    <w:rsid w:val="007F0634"/>
    <w:rsid w:val="007F0BFF"/>
    <w:rsid w:val="007F12E2"/>
    <w:rsid w:val="007F13FB"/>
    <w:rsid w:val="007F14DB"/>
    <w:rsid w:val="007F21BB"/>
    <w:rsid w:val="007F2D8A"/>
    <w:rsid w:val="007F2E4A"/>
    <w:rsid w:val="007F3359"/>
    <w:rsid w:val="007F5C70"/>
    <w:rsid w:val="007F63CB"/>
    <w:rsid w:val="007F66C8"/>
    <w:rsid w:val="007F78F2"/>
    <w:rsid w:val="008004BD"/>
    <w:rsid w:val="00801363"/>
    <w:rsid w:val="00801507"/>
    <w:rsid w:val="00802254"/>
    <w:rsid w:val="008025A1"/>
    <w:rsid w:val="00802B50"/>
    <w:rsid w:val="00803CB4"/>
    <w:rsid w:val="00805222"/>
    <w:rsid w:val="00805D4F"/>
    <w:rsid w:val="00806FA3"/>
    <w:rsid w:val="008112CA"/>
    <w:rsid w:val="00812025"/>
    <w:rsid w:val="00813BD5"/>
    <w:rsid w:val="00814836"/>
    <w:rsid w:val="00816B67"/>
    <w:rsid w:val="00816CC2"/>
    <w:rsid w:val="00817358"/>
    <w:rsid w:val="00817ADE"/>
    <w:rsid w:val="00822AE5"/>
    <w:rsid w:val="00822C3D"/>
    <w:rsid w:val="00822F01"/>
    <w:rsid w:val="008233C0"/>
    <w:rsid w:val="0082453E"/>
    <w:rsid w:val="00825527"/>
    <w:rsid w:val="00825693"/>
    <w:rsid w:val="00825B2A"/>
    <w:rsid w:val="008276CE"/>
    <w:rsid w:val="00827BD9"/>
    <w:rsid w:val="008300E5"/>
    <w:rsid w:val="008301C9"/>
    <w:rsid w:val="0083088D"/>
    <w:rsid w:val="0083155F"/>
    <w:rsid w:val="00831C4E"/>
    <w:rsid w:val="00832F87"/>
    <w:rsid w:val="00833402"/>
    <w:rsid w:val="0083551F"/>
    <w:rsid w:val="00837AC4"/>
    <w:rsid w:val="00840430"/>
    <w:rsid w:val="00841014"/>
    <w:rsid w:val="008428C9"/>
    <w:rsid w:val="00842A83"/>
    <w:rsid w:val="00842F21"/>
    <w:rsid w:val="00843775"/>
    <w:rsid w:val="00844A74"/>
    <w:rsid w:val="00844E0C"/>
    <w:rsid w:val="00846DA1"/>
    <w:rsid w:val="00846EEC"/>
    <w:rsid w:val="008471E2"/>
    <w:rsid w:val="00850325"/>
    <w:rsid w:val="008512A2"/>
    <w:rsid w:val="00851AB6"/>
    <w:rsid w:val="00852023"/>
    <w:rsid w:val="00852A58"/>
    <w:rsid w:val="00854A4C"/>
    <w:rsid w:val="00856D52"/>
    <w:rsid w:val="008576F4"/>
    <w:rsid w:val="0086081D"/>
    <w:rsid w:val="0086094F"/>
    <w:rsid w:val="00860C07"/>
    <w:rsid w:val="00861249"/>
    <w:rsid w:val="0086160F"/>
    <w:rsid w:val="00863355"/>
    <w:rsid w:val="0086590B"/>
    <w:rsid w:val="00871F20"/>
    <w:rsid w:val="00872455"/>
    <w:rsid w:val="008744DA"/>
    <w:rsid w:val="008746ED"/>
    <w:rsid w:val="00874794"/>
    <w:rsid w:val="00875667"/>
    <w:rsid w:val="00875CB3"/>
    <w:rsid w:val="00875EF6"/>
    <w:rsid w:val="008767BD"/>
    <w:rsid w:val="00876CDF"/>
    <w:rsid w:val="00881BAC"/>
    <w:rsid w:val="00883065"/>
    <w:rsid w:val="00883243"/>
    <w:rsid w:val="008836C5"/>
    <w:rsid w:val="0088547A"/>
    <w:rsid w:val="00885C10"/>
    <w:rsid w:val="0088635D"/>
    <w:rsid w:val="0088728F"/>
    <w:rsid w:val="00887896"/>
    <w:rsid w:val="008906AC"/>
    <w:rsid w:val="00891790"/>
    <w:rsid w:val="008933B2"/>
    <w:rsid w:val="00895125"/>
    <w:rsid w:val="008956B3"/>
    <w:rsid w:val="00895F2D"/>
    <w:rsid w:val="00897326"/>
    <w:rsid w:val="008974A2"/>
    <w:rsid w:val="008A1BB6"/>
    <w:rsid w:val="008A1FA5"/>
    <w:rsid w:val="008A27DB"/>
    <w:rsid w:val="008A51D7"/>
    <w:rsid w:val="008A5693"/>
    <w:rsid w:val="008A6495"/>
    <w:rsid w:val="008A7645"/>
    <w:rsid w:val="008B200D"/>
    <w:rsid w:val="008B3FC8"/>
    <w:rsid w:val="008B7BF5"/>
    <w:rsid w:val="008C034B"/>
    <w:rsid w:val="008C172D"/>
    <w:rsid w:val="008C22AA"/>
    <w:rsid w:val="008C3356"/>
    <w:rsid w:val="008C4CCE"/>
    <w:rsid w:val="008C5C41"/>
    <w:rsid w:val="008D1A4C"/>
    <w:rsid w:val="008D1A75"/>
    <w:rsid w:val="008D23D8"/>
    <w:rsid w:val="008D41A2"/>
    <w:rsid w:val="008D422F"/>
    <w:rsid w:val="008D44A6"/>
    <w:rsid w:val="008D602C"/>
    <w:rsid w:val="008D6367"/>
    <w:rsid w:val="008D7001"/>
    <w:rsid w:val="008D7111"/>
    <w:rsid w:val="008D715A"/>
    <w:rsid w:val="008D7E00"/>
    <w:rsid w:val="008E023F"/>
    <w:rsid w:val="008E0F39"/>
    <w:rsid w:val="008E16AC"/>
    <w:rsid w:val="008E3E32"/>
    <w:rsid w:val="008E404E"/>
    <w:rsid w:val="008E4BF0"/>
    <w:rsid w:val="008E53A9"/>
    <w:rsid w:val="008E7EA4"/>
    <w:rsid w:val="008F0EDD"/>
    <w:rsid w:val="008F1572"/>
    <w:rsid w:val="008F206E"/>
    <w:rsid w:val="008F5DB7"/>
    <w:rsid w:val="008F66DF"/>
    <w:rsid w:val="008F75AB"/>
    <w:rsid w:val="009000FC"/>
    <w:rsid w:val="00900829"/>
    <w:rsid w:val="009015AE"/>
    <w:rsid w:val="00901F6D"/>
    <w:rsid w:val="00902A5C"/>
    <w:rsid w:val="00902EED"/>
    <w:rsid w:val="009042AF"/>
    <w:rsid w:val="00906E2C"/>
    <w:rsid w:val="00907AC7"/>
    <w:rsid w:val="0091122B"/>
    <w:rsid w:val="0091536D"/>
    <w:rsid w:val="00915C31"/>
    <w:rsid w:val="0091666A"/>
    <w:rsid w:val="00916A1E"/>
    <w:rsid w:val="009209A9"/>
    <w:rsid w:val="00920BF1"/>
    <w:rsid w:val="00921115"/>
    <w:rsid w:val="009214D8"/>
    <w:rsid w:val="0092175A"/>
    <w:rsid w:val="0092203B"/>
    <w:rsid w:val="009226C4"/>
    <w:rsid w:val="00923372"/>
    <w:rsid w:val="00923FBD"/>
    <w:rsid w:val="009241F4"/>
    <w:rsid w:val="0092556D"/>
    <w:rsid w:val="009267E8"/>
    <w:rsid w:val="00926A0C"/>
    <w:rsid w:val="00930342"/>
    <w:rsid w:val="0093200A"/>
    <w:rsid w:val="009326F8"/>
    <w:rsid w:val="00932E20"/>
    <w:rsid w:val="00934424"/>
    <w:rsid w:val="009350DF"/>
    <w:rsid w:val="00935DB0"/>
    <w:rsid w:val="00936976"/>
    <w:rsid w:val="00936A35"/>
    <w:rsid w:val="00940BCE"/>
    <w:rsid w:val="009420D6"/>
    <w:rsid w:val="00943996"/>
    <w:rsid w:val="00945068"/>
    <w:rsid w:val="00945655"/>
    <w:rsid w:val="00947447"/>
    <w:rsid w:val="009506E0"/>
    <w:rsid w:val="009519B5"/>
    <w:rsid w:val="00953B1C"/>
    <w:rsid w:val="00955989"/>
    <w:rsid w:val="00956F64"/>
    <w:rsid w:val="0095712F"/>
    <w:rsid w:val="00957673"/>
    <w:rsid w:val="00957E61"/>
    <w:rsid w:val="009602D6"/>
    <w:rsid w:val="00960DE1"/>
    <w:rsid w:val="00961F6F"/>
    <w:rsid w:val="009633F9"/>
    <w:rsid w:val="009638A6"/>
    <w:rsid w:val="00964993"/>
    <w:rsid w:val="00964EBE"/>
    <w:rsid w:val="00965276"/>
    <w:rsid w:val="00965769"/>
    <w:rsid w:val="00965D7C"/>
    <w:rsid w:val="009669DD"/>
    <w:rsid w:val="00967C4F"/>
    <w:rsid w:val="00967C8A"/>
    <w:rsid w:val="00970D7F"/>
    <w:rsid w:val="00971AB8"/>
    <w:rsid w:val="00971C85"/>
    <w:rsid w:val="00971DE9"/>
    <w:rsid w:val="00972A5C"/>
    <w:rsid w:val="009738B7"/>
    <w:rsid w:val="009756A7"/>
    <w:rsid w:val="009758E8"/>
    <w:rsid w:val="00976C52"/>
    <w:rsid w:val="009770C3"/>
    <w:rsid w:val="0098072A"/>
    <w:rsid w:val="00980884"/>
    <w:rsid w:val="00980A0D"/>
    <w:rsid w:val="00980D72"/>
    <w:rsid w:val="00980EFA"/>
    <w:rsid w:val="00981F78"/>
    <w:rsid w:val="0098209C"/>
    <w:rsid w:val="009842AD"/>
    <w:rsid w:val="009842FC"/>
    <w:rsid w:val="00984D73"/>
    <w:rsid w:val="00985AF0"/>
    <w:rsid w:val="00986295"/>
    <w:rsid w:val="0098631A"/>
    <w:rsid w:val="0098686B"/>
    <w:rsid w:val="00986CCA"/>
    <w:rsid w:val="00987142"/>
    <w:rsid w:val="0099191A"/>
    <w:rsid w:val="00991CCD"/>
    <w:rsid w:val="00992FCB"/>
    <w:rsid w:val="00995803"/>
    <w:rsid w:val="00995CB0"/>
    <w:rsid w:val="00996446"/>
    <w:rsid w:val="009A0051"/>
    <w:rsid w:val="009A01F5"/>
    <w:rsid w:val="009A057D"/>
    <w:rsid w:val="009A08C3"/>
    <w:rsid w:val="009A0D8B"/>
    <w:rsid w:val="009A1513"/>
    <w:rsid w:val="009A2FD8"/>
    <w:rsid w:val="009A3146"/>
    <w:rsid w:val="009A3265"/>
    <w:rsid w:val="009A4B11"/>
    <w:rsid w:val="009A4B9D"/>
    <w:rsid w:val="009A556B"/>
    <w:rsid w:val="009A702F"/>
    <w:rsid w:val="009A73E2"/>
    <w:rsid w:val="009A7AB7"/>
    <w:rsid w:val="009A7D46"/>
    <w:rsid w:val="009B43C9"/>
    <w:rsid w:val="009B48D8"/>
    <w:rsid w:val="009B58AB"/>
    <w:rsid w:val="009B5E09"/>
    <w:rsid w:val="009B767B"/>
    <w:rsid w:val="009C0CA4"/>
    <w:rsid w:val="009C1424"/>
    <w:rsid w:val="009C1EB1"/>
    <w:rsid w:val="009C3427"/>
    <w:rsid w:val="009C424B"/>
    <w:rsid w:val="009C593A"/>
    <w:rsid w:val="009C5E2B"/>
    <w:rsid w:val="009C62B6"/>
    <w:rsid w:val="009D0224"/>
    <w:rsid w:val="009D02AC"/>
    <w:rsid w:val="009D0F55"/>
    <w:rsid w:val="009D1523"/>
    <w:rsid w:val="009D7203"/>
    <w:rsid w:val="009E0442"/>
    <w:rsid w:val="009E259C"/>
    <w:rsid w:val="009E40CE"/>
    <w:rsid w:val="009E47D3"/>
    <w:rsid w:val="009E5D4B"/>
    <w:rsid w:val="009E628B"/>
    <w:rsid w:val="009E6D4C"/>
    <w:rsid w:val="009E7044"/>
    <w:rsid w:val="009F117A"/>
    <w:rsid w:val="009F25C5"/>
    <w:rsid w:val="009F3038"/>
    <w:rsid w:val="009F3E69"/>
    <w:rsid w:val="009F4263"/>
    <w:rsid w:val="009F4C53"/>
    <w:rsid w:val="009F645C"/>
    <w:rsid w:val="00A00489"/>
    <w:rsid w:val="00A004FF"/>
    <w:rsid w:val="00A04AA6"/>
    <w:rsid w:val="00A10204"/>
    <w:rsid w:val="00A10236"/>
    <w:rsid w:val="00A10260"/>
    <w:rsid w:val="00A11503"/>
    <w:rsid w:val="00A1154C"/>
    <w:rsid w:val="00A11960"/>
    <w:rsid w:val="00A12E9F"/>
    <w:rsid w:val="00A147F6"/>
    <w:rsid w:val="00A14B82"/>
    <w:rsid w:val="00A1556B"/>
    <w:rsid w:val="00A16112"/>
    <w:rsid w:val="00A16621"/>
    <w:rsid w:val="00A16C80"/>
    <w:rsid w:val="00A173FF"/>
    <w:rsid w:val="00A17F42"/>
    <w:rsid w:val="00A211DD"/>
    <w:rsid w:val="00A21927"/>
    <w:rsid w:val="00A23241"/>
    <w:rsid w:val="00A240D7"/>
    <w:rsid w:val="00A26798"/>
    <w:rsid w:val="00A311D3"/>
    <w:rsid w:val="00A3124E"/>
    <w:rsid w:val="00A31F4D"/>
    <w:rsid w:val="00A33F3C"/>
    <w:rsid w:val="00A357BE"/>
    <w:rsid w:val="00A360D4"/>
    <w:rsid w:val="00A363C2"/>
    <w:rsid w:val="00A365F1"/>
    <w:rsid w:val="00A36D8F"/>
    <w:rsid w:val="00A36FCC"/>
    <w:rsid w:val="00A37375"/>
    <w:rsid w:val="00A4019E"/>
    <w:rsid w:val="00A4449F"/>
    <w:rsid w:val="00A444C2"/>
    <w:rsid w:val="00A45A33"/>
    <w:rsid w:val="00A4632E"/>
    <w:rsid w:val="00A467E9"/>
    <w:rsid w:val="00A4690B"/>
    <w:rsid w:val="00A46D0D"/>
    <w:rsid w:val="00A478EB"/>
    <w:rsid w:val="00A51221"/>
    <w:rsid w:val="00A54789"/>
    <w:rsid w:val="00A555DA"/>
    <w:rsid w:val="00A567AD"/>
    <w:rsid w:val="00A57E4B"/>
    <w:rsid w:val="00A60C41"/>
    <w:rsid w:val="00A60DA2"/>
    <w:rsid w:val="00A6106D"/>
    <w:rsid w:val="00A63265"/>
    <w:rsid w:val="00A644DA"/>
    <w:rsid w:val="00A65381"/>
    <w:rsid w:val="00A656BF"/>
    <w:rsid w:val="00A66866"/>
    <w:rsid w:val="00A6690C"/>
    <w:rsid w:val="00A67341"/>
    <w:rsid w:val="00A71A17"/>
    <w:rsid w:val="00A720CE"/>
    <w:rsid w:val="00A729A6"/>
    <w:rsid w:val="00A72F5D"/>
    <w:rsid w:val="00A73879"/>
    <w:rsid w:val="00A73A70"/>
    <w:rsid w:val="00A7464B"/>
    <w:rsid w:val="00A77661"/>
    <w:rsid w:val="00A82705"/>
    <w:rsid w:val="00A82A27"/>
    <w:rsid w:val="00A84C12"/>
    <w:rsid w:val="00A85302"/>
    <w:rsid w:val="00A879AE"/>
    <w:rsid w:val="00A914A7"/>
    <w:rsid w:val="00A93041"/>
    <w:rsid w:val="00A93117"/>
    <w:rsid w:val="00A94627"/>
    <w:rsid w:val="00A94691"/>
    <w:rsid w:val="00A94932"/>
    <w:rsid w:val="00A951E0"/>
    <w:rsid w:val="00A962AD"/>
    <w:rsid w:val="00A975A5"/>
    <w:rsid w:val="00A97B79"/>
    <w:rsid w:val="00A97DD4"/>
    <w:rsid w:val="00AA03ED"/>
    <w:rsid w:val="00AA1415"/>
    <w:rsid w:val="00AA1A6F"/>
    <w:rsid w:val="00AA3B7F"/>
    <w:rsid w:val="00AA506D"/>
    <w:rsid w:val="00AA5995"/>
    <w:rsid w:val="00AB02D0"/>
    <w:rsid w:val="00AB0D67"/>
    <w:rsid w:val="00AB1284"/>
    <w:rsid w:val="00AB2C2F"/>
    <w:rsid w:val="00AB324E"/>
    <w:rsid w:val="00AB327B"/>
    <w:rsid w:val="00AB3E4B"/>
    <w:rsid w:val="00AB4D2B"/>
    <w:rsid w:val="00AB4F25"/>
    <w:rsid w:val="00AB686B"/>
    <w:rsid w:val="00AC18A4"/>
    <w:rsid w:val="00AC1C17"/>
    <w:rsid w:val="00AC2CEF"/>
    <w:rsid w:val="00AC61A9"/>
    <w:rsid w:val="00AC66B8"/>
    <w:rsid w:val="00AC6DB9"/>
    <w:rsid w:val="00AC7CAB"/>
    <w:rsid w:val="00AD0A5E"/>
    <w:rsid w:val="00AD2788"/>
    <w:rsid w:val="00AD2D1D"/>
    <w:rsid w:val="00AD2D53"/>
    <w:rsid w:val="00AD5838"/>
    <w:rsid w:val="00AD5B6F"/>
    <w:rsid w:val="00AD768F"/>
    <w:rsid w:val="00AE1807"/>
    <w:rsid w:val="00AE27F3"/>
    <w:rsid w:val="00AE45A4"/>
    <w:rsid w:val="00AE47E8"/>
    <w:rsid w:val="00AE6CD3"/>
    <w:rsid w:val="00AF0148"/>
    <w:rsid w:val="00AF0EF7"/>
    <w:rsid w:val="00AF0F4A"/>
    <w:rsid w:val="00AF3D03"/>
    <w:rsid w:val="00AF4FB2"/>
    <w:rsid w:val="00AF507B"/>
    <w:rsid w:val="00AF5227"/>
    <w:rsid w:val="00AF5695"/>
    <w:rsid w:val="00B00328"/>
    <w:rsid w:val="00B013A1"/>
    <w:rsid w:val="00B01587"/>
    <w:rsid w:val="00B01D94"/>
    <w:rsid w:val="00B02746"/>
    <w:rsid w:val="00B0307A"/>
    <w:rsid w:val="00B04C0B"/>
    <w:rsid w:val="00B06ED2"/>
    <w:rsid w:val="00B10EAD"/>
    <w:rsid w:val="00B12F46"/>
    <w:rsid w:val="00B13434"/>
    <w:rsid w:val="00B15BD7"/>
    <w:rsid w:val="00B173E3"/>
    <w:rsid w:val="00B213BD"/>
    <w:rsid w:val="00B21D41"/>
    <w:rsid w:val="00B23302"/>
    <w:rsid w:val="00B23AFB"/>
    <w:rsid w:val="00B25E63"/>
    <w:rsid w:val="00B261BA"/>
    <w:rsid w:val="00B261D9"/>
    <w:rsid w:val="00B26824"/>
    <w:rsid w:val="00B26D80"/>
    <w:rsid w:val="00B26E1B"/>
    <w:rsid w:val="00B27E4B"/>
    <w:rsid w:val="00B3056B"/>
    <w:rsid w:val="00B314C9"/>
    <w:rsid w:val="00B31BC7"/>
    <w:rsid w:val="00B336A9"/>
    <w:rsid w:val="00B339C7"/>
    <w:rsid w:val="00B348BE"/>
    <w:rsid w:val="00B34F92"/>
    <w:rsid w:val="00B358B1"/>
    <w:rsid w:val="00B35B0D"/>
    <w:rsid w:val="00B35DDF"/>
    <w:rsid w:val="00B36486"/>
    <w:rsid w:val="00B368E4"/>
    <w:rsid w:val="00B37A61"/>
    <w:rsid w:val="00B40831"/>
    <w:rsid w:val="00B40C45"/>
    <w:rsid w:val="00B41064"/>
    <w:rsid w:val="00B4135C"/>
    <w:rsid w:val="00B418C2"/>
    <w:rsid w:val="00B4231B"/>
    <w:rsid w:val="00B428E1"/>
    <w:rsid w:val="00B448AA"/>
    <w:rsid w:val="00B45431"/>
    <w:rsid w:val="00B50576"/>
    <w:rsid w:val="00B50A6C"/>
    <w:rsid w:val="00B516CD"/>
    <w:rsid w:val="00B51BA7"/>
    <w:rsid w:val="00B52638"/>
    <w:rsid w:val="00B53C63"/>
    <w:rsid w:val="00B54B49"/>
    <w:rsid w:val="00B555EE"/>
    <w:rsid w:val="00B55A62"/>
    <w:rsid w:val="00B5648B"/>
    <w:rsid w:val="00B6023E"/>
    <w:rsid w:val="00B60811"/>
    <w:rsid w:val="00B60D35"/>
    <w:rsid w:val="00B62315"/>
    <w:rsid w:val="00B6245F"/>
    <w:rsid w:val="00B6295E"/>
    <w:rsid w:val="00B62ABD"/>
    <w:rsid w:val="00B62D50"/>
    <w:rsid w:val="00B6456D"/>
    <w:rsid w:val="00B66E87"/>
    <w:rsid w:val="00B7296F"/>
    <w:rsid w:val="00B72989"/>
    <w:rsid w:val="00B74A4C"/>
    <w:rsid w:val="00B76051"/>
    <w:rsid w:val="00B76495"/>
    <w:rsid w:val="00B772A0"/>
    <w:rsid w:val="00B772A8"/>
    <w:rsid w:val="00B7787F"/>
    <w:rsid w:val="00B807D0"/>
    <w:rsid w:val="00B818D6"/>
    <w:rsid w:val="00B822F5"/>
    <w:rsid w:val="00B82665"/>
    <w:rsid w:val="00B84B9B"/>
    <w:rsid w:val="00B84F0F"/>
    <w:rsid w:val="00B85818"/>
    <w:rsid w:val="00B85AB4"/>
    <w:rsid w:val="00B8653E"/>
    <w:rsid w:val="00B87C3F"/>
    <w:rsid w:val="00B91F43"/>
    <w:rsid w:val="00B9235C"/>
    <w:rsid w:val="00B92768"/>
    <w:rsid w:val="00B92CF2"/>
    <w:rsid w:val="00B93592"/>
    <w:rsid w:val="00B940B5"/>
    <w:rsid w:val="00B96505"/>
    <w:rsid w:val="00B96819"/>
    <w:rsid w:val="00B96FC8"/>
    <w:rsid w:val="00BA0475"/>
    <w:rsid w:val="00BA0C3C"/>
    <w:rsid w:val="00BA4997"/>
    <w:rsid w:val="00BA5AA3"/>
    <w:rsid w:val="00BA6E7B"/>
    <w:rsid w:val="00BA7871"/>
    <w:rsid w:val="00BB08A2"/>
    <w:rsid w:val="00BB1695"/>
    <w:rsid w:val="00BB1A00"/>
    <w:rsid w:val="00BB40AB"/>
    <w:rsid w:val="00BB63AA"/>
    <w:rsid w:val="00BB7096"/>
    <w:rsid w:val="00BB7692"/>
    <w:rsid w:val="00BB7F92"/>
    <w:rsid w:val="00BB7FCE"/>
    <w:rsid w:val="00BC026F"/>
    <w:rsid w:val="00BC0CD8"/>
    <w:rsid w:val="00BC245D"/>
    <w:rsid w:val="00BC2B12"/>
    <w:rsid w:val="00BC5ABD"/>
    <w:rsid w:val="00BD0D44"/>
    <w:rsid w:val="00BD3746"/>
    <w:rsid w:val="00BD40F5"/>
    <w:rsid w:val="00BD70C4"/>
    <w:rsid w:val="00BD7E0A"/>
    <w:rsid w:val="00BE0B8C"/>
    <w:rsid w:val="00BE18BD"/>
    <w:rsid w:val="00BE22BB"/>
    <w:rsid w:val="00BE2684"/>
    <w:rsid w:val="00BE3607"/>
    <w:rsid w:val="00BE3756"/>
    <w:rsid w:val="00BE4FE0"/>
    <w:rsid w:val="00BE64C8"/>
    <w:rsid w:val="00BE7AA1"/>
    <w:rsid w:val="00BE7E1A"/>
    <w:rsid w:val="00BF1BA1"/>
    <w:rsid w:val="00BF20F5"/>
    <w:rsid w:val="00BF31C5"/>
    <w:rsid w:val="00BF3E95"/>
    <w:rsid w:val="00BF5E9C"/>
    <w:rsid w:val="00BF6A19"/>
    <w:rsid w:val="00BF7090"/>
    <w:rsid w:val="00BF77D4"/>
    <w:rsid w:val="00C005FE"/>
    <w:rsid w:val="00C00B09"/>
    <w:rsid w:val="00C01F54"/>
    <w:rsid w:val="00C05B89"/>
    <w:rsid w:val="00C0746C"/>
    <w:rsid w:val="00C11419"/>
    <w:rsid w:val="00C122D6"/>
    <w:rsid w:val="00C126CC"/>
    <w:rsid w:val="00C12BF7"/>
    <w:rsid w:val="00C13A3E"/>
    <w:rsid w:val="00C15DAE"/>
    <w:rsid w:val="00C16514"/>
    <w:rsid w:val="00C166DA"/>
    <w:rsid w:val="00C17342"/>
    <w:rsid w:val="00C21E45"/>
    <w:rsid w:val="00C226D4"/>
    <w:rsid w:val="00C229E2"/>
    <w:rsid w:val="00C23002"/>
    <w:rsid w:val="00C23BF2"/>
    <w:rsid w:val="00C255F4"/>
    <w:rsid w:val="00C2568A"/>
    <w:rsid w:val="00C25B06"/>
    <w:rsid w:val="00C25FED"/>
    <w:rsid w:val="00C26C74"/>
    <w:rsid w:val="00C270EB"/>
    <w:rsid w:val="00C272B3"/>
    <w:rsid w:val="00C306C4"/>
    <w:rsid w:val="00C30B5F"/>
    <w:rsid w:val="00C30EFA"/>
    <w:rsid w:val="00C31E0A"/>
    <w:rsid w:val="00C31F27"/>
    <w:rsid w:val="00C33A0B"/>
    <w:rsid w:val="00C36B76"/>
    <w:rsid w:val="00C40353"/>
    <w:rsid w:val="00C40DF7"/>
    <w:rsid w:val="00C42B03"/>
    <w:rsid w:val="00C4348B"/>
    <w:rsid w:val="00C43F57"/>
    <w:rsid w:val="00C4546D"/>
    <w:rsid w:val="00C462AA"/>
    <w:rsid w:val="00C472D4"/>
    <w:rsid w:val="00C47FF9"/>
    <w:rsid w:val="00C517D5"/>
    <w:rsid w:val="00C51A3F"/>
    <w:rsid w:val="00C52107"/>
    <w:rsid w:val="00C5246F"/>
    <w:rsid w:val="00C53152"/>
    <w:rsid w:val="00C53A10"/>
    <w:rsid w:val="00C53AEF"/>
    <w:rsid w:val="00C56BE4"/>
    <w:rsid w:val="00C60993"/>
    <w:rsid w:val="00C61798"/>
    <w:rsid w:val="00C622FB"/>
    <w:rsid w:val="00C6232A"/>
    <w:rsid w:val="00C626E6"/>
    <w:rsid w:val="00C642B2"/>
    <w:rsid w:val="00C64A9D"/>
    <w:rsid w:val="00C67BE9"/>
    <w:rsid w:val="00C71751"/>
    <w:rsid w:val="00C72ADF"/>
    <w:rsid w:val="00C734EA"/>
    <w:rsid w:val="00C746F3"/>
    <w:rsid w:val="00C749B4"/>
    <w:rsid w:val="00C760BA"/>
    <w:rsid w:val="00C764EE"/>
    <w:rsid w:val="00C776A3"/>
    <w:rsid w:val="00C80256"/>
    <w:rsid w:val="00C80635"/>
    <w:rsid w:val="00C81261"/>
    <w:rsid w:val="00C8290A"/>
    <w:rsid w:val="00C840F2"/>
    <w:rsid w:val="00C84DB7"/>
    <w:rsid w:val="00C85A70"/>
    <w:rsid w:val="00C9222D"/>
    <w:rsid w:val="00C94806"/>
    <w:rsid w:val="00C95356"/>
    <w:rsid w:val="00C9673E"/>
    <w:rsid w:val="00C9683E"/>
    <w:rsid w:val="00C97171"/>
    <w:rsid w:val="00CA01C4"/>
    <w:rsid w:val="00CA050B"/>
    <w:rsid w:val="00CA1BB3"/>
    <w:rsid w:val="00CA31FF"/>
    <w:rsid w:val="00CA3732"/>
    <w:rsid w:val="00CA60A7"/>
    <w:rsid w:val="00CA6B48"/>
    <w:rsid w:val="00CA6FE5"/>
    <w:rsid w:val="00CA7498"/>
    <w:rsid w:val="00CB279C"/>
    <w:rsid w:val="00CB4EEE"/>
    <w:rsid w:val="00CB5F3F"/>
    <w:rsid w:val="00CB6000"/>
    <w:rsid w:val="00CB7717"/>
    <w:rsid w:val="00CC16FA"/>
    <w:rsid w:val="00CC21CC"/>
    <w:rsid w:val="00CC2F52"/>
    <w:rsid w:val="00CC63BA"/>
    <w:rsid w:val="00CC761D"/>
    <w:rsid w:val="00CC78BC"/>
    <w:rsid w:val="00CD0D4A"/>
    <w:rsid w:val="00CD1040"/>
    <w:rsid w:val="00CD2A64"/>
    <w:rsid w:val="00CD2EEB"/>
    <w:rsid w:val="00CD339B"/>
    <w:rsid w:val="00CD4096"/>
    <w:rsid w:val="00CD52E3"/>
    <w:rsid w:val="00CD5F2D"/>
    <w:rsid w:val="00CD7BB6"/>
    <w:rsid w:val="00CE0ABA"/>
    <w:rsid w:val="00CE106C"/>
    <w:rsid w:val="00CE3EBB"/>
    <w:rsid w:val="00CE480F"/>
    <w:rsid w:val="00CE5BA0"/>
    <w:rsid w:val="00CE79F5"/>
    <w:rsid w:val="00CF1EF0"/>
    <w:rsid w:val="00CF2661"/>
    <w:rsid w:val="00CF2810"/>
    <w:rsid w:val="00CF2CF9"/>
    <w:rsid w:val="00CF370A"/>
    <w:rsid w:val="00CF38FD"/>
    <w:rsid w:val="00CF4E2B"/>
    <w:rsid w:val="00CF5F56"/>
    <w:rsid w:val="00D003E6"/>
    <w:rsid w:val="00D01442"/>
    <w:rsid w:val="00D01E41"/>
    <w:rsid w:val="00D0224B"/>
    <w:rsid w:val="00D02E03"/>
    <w:rsid w:val="00D03088"/>
    <w:rsid w:val="00D0337C"/>
    <w:rsid w:val="00D0351A"/>
    <w:rsid w:val="00D0369E"/>
    <w:rsid w:val="00D03785"/>
    <w:rsid w:val="00D05231"/>
    <w:rsid w:val="00D063C5"/>
    <w:rsid w:val="00D06584"/>
    <w:rsid w:val="00D07D17"/>
    <w:rsid w:val="00D10C0A"/>
    <w:rsid w:val="00D10E17"/>
    <w:rsid w:val="00D12CE7"/>
    <w:rsid w:val="00D12DB5"/>
    <w:rsid w:val="00D12E04"/>
    <w:rsid w:val="00D1318C"/>
    <w:rsid w:val="00D16A60"/>
    <w:rsid w:val="00D2003E"/>
    <w:rsid w:val="00D20604"/>
    <w:rsid w:val="00D2091C"/>
    <w:rsid w:val="00D20A2C"/>
    <w:rsid w:val="00D2151B"/>
    <w:rsid w:val="00D25C03"/>
    <w:rsid w:val="00D25CDA"/>
    <w:rsid w:val="00D26D59"/>
    <w:rsid w:val="00D27A52"/>
    <w:rsid w:val="00D30861"/>
    <w:rsid w:val="00D30D42"/>
    <w:rsid w:val="00D33F2C"/>
    <w:rsid w:val="00D340BC"/>
    <w:rsid w:val="00D350D8"/>
    <w:rsid w:val="00D3652C"/>
    <w:rsid w:val="00D3761D"/>
    <w:rsid w:val="00D414E2"/>
    <w:rsid w:val="00D41ADD"/>
    <w:rsid w:val="00D42E46"/>
    <w:rsid w:val="00D4344F"/>
    <w:rsid w:val="00D434A2"/>
    <w:rsid w:val="00D4377F"/>
    <w:rsid w:val="00D43982"/>
    <w:rsid w:val="00D44551"/>
    <w:rsid w:val="00D457F1"/>
    <w:rsid w:val="00D45BD0"/>
    <w:rsid w:val="00D4682B"/>
    <w:rsid w:val="00D476CB"/>
    <w:rsid w:val="00D47A7D"/>
    <w:rsid w:val="00D51174"/>
    <w:rsid w:val="00D518DE"/>
    <w:rsid w:val="00D51AA2"/>
    <w:rsid w:val="00D53B92"/>
    <w:rsid w:val="00D54047"/>
    <w:rsid w:val="00D54D47"/>
    <w:rsid w:val="00D575A2"/>
    <w:rsid w:val="00D60AB7"/>
    <w:rsid w:val="00D618D9"/>
    <w:rsid w:val="00D61F37"/>
    <w:rsid w:val="00D6204A"/>
    <w:rsid w:val="00D64455"/>
    <w:rsid w:val="00D64484"/>
    <w:rsid w:val="00D64B52"/>
    <w:rsid w:val="00D64E64"/>
    <w:rsid w:val="00D66C9C"/>
    <w:rsid w:val="00D706E6"/>
    <w:rsid w:val="00D74318"/>
    <w:rsid w:val="00D76541"/>
    <w:rsid w:val="00D76699"/>
    <w:rsid w:val="00D76C5F"/>
    <w:rsid w:val="00D773D0"/>
    <w:rsid w:val="00D8498D"/>
    <w:rsid w:val="00D87B43"/>
    <w:rsid w:val="00D90138"/>
    <w:rsid w:val="00D90FAD"/>
    <w:rsid w:val="00D93FC5"/>
    <w:rsid w:val="00D953A0"/>
    <w:rsid w:val="00D966F2"/>
    <w:rsid w:val="00DA0194"/>
    <w:rsid w:val="00DA13A7"/>
    <w:rsid w:val="00DA1B5A"/>
    <w:rsid w:val="00DA1CD2"/>
    <w:rsid w:val="00DA290E"/>
    <w:rsid w:val="00DA2990"/>
    <w:rsid w:val="00DA3865"/>
    <w:rsid w:val="00DA38AF"/>
    <w:rsid w:val="00DA6AC1"/>
    <w:rsid w:val="00DA7D84"/>
    <w:rsid w:val="00DB0049"/>
    <w:rsid w:val="00DB0553"/>
    <w:rsid w:val="00DB0E92"/>
    <w:rsid w:val="00DB10AE"/>
    <w:rsid w:val="00DB1D2F"/>
    <w:rsid w:val="00DB1DFE"/>
    <w:rsid w:val="00DB2D47"/>
    <w:rsid w:val="00DB31D6"/>
    <w:rsid w:val="00DB44BB"/>
    <w:rsid w:val="00DB494C"/>
    <w:rsid w:val="00DB49C8"/>
    <w:rsid w:val="00DB4F01"/>
    <w:rsid w:val="00DB50C7"/>
    <w:rsid w:val="00DB57F1"/>
    <w:rsid w:val="00DB5874"/>
    <w:rsid w:val="00DB73BD"/>
    <w:rsid w:val="00DC01D0"/>
    <w:rsid w:val="00DC05CD"/>
    <w:rsid w:val="00DC1215"/>
    <w:rsid w:val="00DC23BB"/>
    <w:rsid w:val="00DC341F"/>
    <w:rsid w:val="00DC4B40"/>
    <w:rsid w:val="00DC5E87"/>
    <w:rsid w:val="00DC5F42"/>
    <w:rsid w:val="00DC6F0B"/>
    <w:rsid w:val="00DC7833"/>
    <w:rsid w:val="00DC7E88"/>
    <w:rsid w:val="00DD22D1"/>
    <w:rsid w:val="00DD277C"/>
    <w:rsid w:val="00DD5660"/>
    <w:rsid w:val="00DD5C74"/>
    <w:rsid w:val="00DD6A96"/>
    <w:rsid w:val="00DE17F9"/>
    <w:rsid w:val="00DE1891"/>
    <w:rsid w:val="00DE4116"/>
    <w:rsid w:val="00DE4C17"/>
    <w:rsid w:val="00DE4C5C"/>
    <w:rsid w:val="00DE5B29"/>
    <w:rsid w:val="00DE782D"/>
    <w:rsid w:val="00DE7F35"/>
    <w:rsid w:val="00DF0153"/>
    <w:rsid w:val="00DF303E"/>
    <w:rsid w:val="00DF44C0"/>
    <w:rsid w:val="00DF5053"/>
    <w:rsid w:val="00DF5FD4"/>
    <w:rsid w:val="00DF7C02"/>
    <w:rsid w:val="00E01898"/>
    <w:rsid w:val="00E02337"/>
    <w:rsid w:val="00E025AD"/>
    <w:rsid w:val="00E03CF7"/>
    <w:rsid w:val="00E03EDD"/>
    <w:rsid w:val="00E04A0A"/>
    <w:rsid w:val="00E04AC2"/>
    <w:rsid w:val="00E068D8"/>
    <w:rsid w:val="00E07235"/>
    <w:rsid w:val="00E07371"/>
    <w:rsid w:val="00E07D0A"/>
    <w:rsid w:val="00E10DF2"/>
    <w:rsid w:val="00E1139C"/>
    <w:rsid w:val="00E1266E"/>
    <w:rsid w:val="00E12EEB"/>
    <w:rsid w:val="00E15A62"/>
    <w:rsid w:val="00E176D8"/>
    <w:rsid w:val="00E21925"/>
    <w:rsid w:val="00E221D2"/>
    <w:rsid w:val="00E25A55"/>
    <w:rsid w:val="00E25E94"/>
    <w:rsid w:val="00E27475"/>
    <w:rsid w:val="00E27553"/>
    <w:rsid w:val="00E275A3"/>
    <w:rsid w:val="00E30042"/>
    <w:rsid w:val="00E30CA8"/>
    <w:rsid w:val="00E32159"/>
    <w:rsid w:val="00E32E1D"/>
    <w:rsid w:val="00E33EC7"/>
    <w:rsid w:val="00E34691"/>
    <w:rsid w:val="00E35263"/>
    <w:rsid w:val="00E36F69"/>
    <w:rsid w:val="00E37FAA"/>
    <w:rsid w:val="00E40692"/>
    <w:rsid w:val="00E4098E"/>
    <w:rsid w:val="00E40F24"/>
    <w:rsid w:val="00E40F8A"/>
    <w:rsid w:val="00E4175E"/>
    <w:rsid w:val="00E42B85"/>
    <w:rsid w:val="00E431DE"/>
    <w:rsid w:val="00E4351B"/>
    <w:rsid w:val="00E4425A"/>
    <w:rsid w:val="00E44E1A"/>
    <w:rsid w:val="00E44FA8"/>
    <w:rsid w:val="00E45394"/>
    <w:rsid w:val="00E46053"/>
    <w:rsid w:val="00E479E8"/>
    <w:rsid w:val="00E508F5"/>
    <w:rsid w:val="00E520AE"/>
    <w:rsid w:val="00E52585"/>
    <w:rsid w:val="00E563FB"/>
    <w:rsid w:val="00E56705"/>
    <w:rsid w:val="00E57467"/>
    <w:rsid w:val="00E57AAD"/>
    <w:rsid w:val="00E57BF2"/>
    <w:rsid w:val="00E61319"/>
    <w:rsid w:val="00E61633"/>
    <w:rsid w:val="00E62899"/>
    <w:rsid w:val="00E62BCB"/>
    <w:rsid w:val="00E63528"/>
    <w:rsid w:val="00E64C6E"/>
    <w:rsid w:val="00E6557C"/>
    <w:rsid w:val="00E6682F"/>
    <w:rsid w:val="00E67F8F"/>
    <w:rsid w:val="00E70ACD"/>
    <w:rsid w:val="00E70C0A"/>
    <w:rsid w:val="00E72398"/>
    <w:rsid w:val="00E728E6"/>
    <w:rsid w:val="00E72B9E"/>
    <w:rsid w:val="00E72C94"/>
    <w:rsid w:val="00E74060"/>
    <w:rsid w:val="00E76216"/>
    <w:rsid w:val="00E76643"/>
    <w:rsid w:val="00E76740"/>
    <w:rsid w:val="00E773EA"/>
    <w:rsid w:val="00E774FB"/>
    <w:rsid w:val="00E8167B"/>
    <w:rsid w:val="00E81BE1"/>
    <w:rsid w:val="00E81C9C"/>
    <w:rsid w:val="00E81CF2"/>
    <w:rsid w:val="00E81F3A"/>
    <w:rsid w:val="00E858F3"/>
    <w:rsid w:val="00E87C34"/>
    <w:rsid w:val="00E90855"/>
    <w:rsid w:val="00E93337"/>
    <w:rsid w:val="00E93C72"/>
    <w:rsid w:val="00E94196"/>
    <w:rsid w:val="00E94ABE"/>
    <w:rsid w:val="00E952C0"/>
    <w:rsid w:val="00E95707"/>
    <w:rsid w:val="00E97E35"/>
    <w:rsid w:val="00EA3843"/>
    <w:rsid w:val="00EA3EAF"/>
    <w:rsid w:val="00EA4B88"/>
    <w:rsid w:val="00EA4FC1"/>
    <w:rsid w:val="00EA61C8"/>
    <w:rsid w:val="00EB027C"/>
    <w:rsid w:val="00EB0468"/>
    <w:rsid w:val="00EC0600"/>
    <w:rsid w:val="00EC2F31"/>
    <w:rsid w:val="00EC51EB"/>
    <w:rsid w:val="00EC6154"/>
    <w:rsid w:val="00EC66C5"/>
    <w:rsid w:val="00ED057C"/>
    <w:rsid w:val="00ED0FD8"/>
    <w:rsid w:val="00ED10B1"/>
    <w:rsid w:val="00ED1DA0"/>
    <w:rsid w:val="00ED244E"/>
    <w:rsid w:val="00ED29CC"/>
    <w:rsid w:val="00ED311A"/>
    <w:rsid w:val="00ED39EB"/>
    <w:rsid w:val="00ED5D09"/>
    <w:rsid w:val="00ED5FEA"/>
    <w:rsid w:val="00ED665D"/>
    <w:rsid w:val="00ED6817"/>
    <w:rsid w:val="00ED741B"/>
    <w:rsid w:val="00EE02AE"/>
    <w:rsid w:val="00EE0367"/>
    <w:rsid w:val="00EE1F07"/>
    <w:rsid w:val="00EE217D"/>
    <w:rsid w:val="00EE23A5"/>
    <w:rsid w:val="00EE38CB"/>
    <w:rsid w:val="00EE4C2D"/>
    <w:rsid w:val="00EF13A4"/>
    <w:rsid w:val="00EF2675"/>
    <w:rsid w:val="00EF2B61"/>
    <w:rsid w:val="00EF2D9A"/>
    <w:rsid w:val="00EF35C3"/>
    <w:rsid w:val="00EF4625"/>
    <w:rsid w:val="00EF4B04"/>
    <w:rsid w:val="00EF5AE1"/>
    <w:rsid w:val="00EF6382"/>
    <w:rsid w:val="00EF7DEB"/>
    <w:rsid w:val="00F0163B"/>
    <w:rsid w:val="00F0333A"/>
    <w:rsid w:val="00F03D08"/>
    <w:rsid w:val="00F042CB"/>
    <w:rsid w:val="00F04FB3"/>
    <w:rsid w:val="00F06565"/>
    <w:rsid w:val="00F143DC"/>
    <w:rsid w:val="00F14699"/>
    <w:rsid w:val="00F14A11"/>
    <w:rsid w:val="00F14F16"/>
    <w:rsid w:val="00F15092"/>
    <w:rsid w:val="00F15CA9"/>
    <w:rsid w:val="00F15E9A"/>
    <w:rsid w:val="00F1760B"/>
    <w:rsid w:val="00F20BA9"/>
    <w:rsid w:val="00F20C21"/>
    <w:rsid w:val="00F21013"/>
    <w:rsid w:val="00F21CE1"/>
    <w:rsid w:val="00F2395D"/>
    <w:rsid w:val="00F23F26"/>
    <w:rsid w:val="00F241CB"/>
    <w:rsid w:val="00F24840"/>
    <w:rsid w:val="00F2600D"/>
    <w:rsid w:val="00F279A1"/>
    <w:rsid w:val="00F30576"/>
    <w:rsid w:val="00F30C70"/>
    <w:rsid w:val="00F33CE3"/>
    <w:rsid w:val="00F3527A"/>
    <w:rsid w:val="00F363A8"/>
    <w:rsid w:val="00F36C30"/>
    <w:rsid w:val="00F36F64"/>
    <w:rsid w:val="00F3747B"/>
    <w:rsid w:val="00F3749D"/>
    <w:rsid w:val="00F374D2"/>
    <w:rsid w:val="00F401A9"/>
    <w:rsid w:val="00F40AB4"/>
    <w:rsid w:val="00F4338D"/>
    <w:rsid w:val="00F43D1F"/>
    <w:rsid w:val="00F445E4"/>
    <w:rsid w:val="00F46056"/>
    <w:rsid w:val="00F47447"/>
    <w:rsid w:val="00F507D4"/>
    <w:rsid w:val="00F51B3D"/>
    <w:rsid w:val="00F52998"/>
    <w:rsid w:val="00F52A03"/>
    <w:rsid w:val="00F5322F"/>
    <w:rsid w:val="00F5377D"/>
    <w:rsid w:val="00F541E7"/>
    <w:rsid w:val="00F54664"/>
    <w:rsid w:val="00F55096"/>
    <w:rsid w:val="00F551EE"/>
    <w:rsid w:val="00F56496"/>
    <w:rsid w:val="00F60461"/>
    <w:rsid w:val="00F60AEE"/>
    <w:rsid w:val="00F6183B"/>
    <w:rsid w:val="00F62B18"/>
    <w:rsid w:val="00F64F4D"/>
    <w:rsid w:val="00F65260"/>
    <w:rsid w:val="00F65523"/>
    <w:rsid w:val="00F65FE9"/>
    <w:rsid w:val="00F668CF"/>
    <w:rsid w:val="00F66A10"/>
    <w:rsid w:val="00F70C58"/>
    <w:rsid w:val="00F70F0C"/>
    <w:rsid w:val="00F723C3"/>
    <w:rsid w:val="00F7313E"/>
    <w:rsid w:val="00F73ADF"/>
    <w:rsid w:val="00F75B8C"/>
    <w:rsid w:val="00F77A67"/>
    <w:rsid w:val="00F77E8F"/>
    <w:rsid w:val="00F803B9"/>
    <w:rsid w:val="00F80A28"/>
    <w:rsid w:val="00F82BF7"/>
    <w:rsid w:val="00F838F2"/>
    <w:rsid w:val="00F839DB"/>
    <w:rsid w:val="00F85A5C"/>
    <w:rsid w:val="00F85B79"/>
    <w:rsid w:val="00F871DC"/>
    <w:rsid w:val="00F93658"/>
    <w:rsid w:val="00F9439E"/>
    <w:rsid w:val="00FA013B"/>
    <w:rsid w:val="00FA0DA5"/>
    <w:rsid w:val="00FA11B9"/>
    <w:rsid w:val="00FA2A2A"/>
    <w:rsid w:val="00FA2B09"/>
    <w:rsid w:val="00FA2DA2"/>
    <w:rsid w:val="00FA6310"/>
    <w:rsid w:val="00FA6E0E"/>
    <w:rsid w:val="00FA791B"/>
    <w:rsid w:val="00FB0511"/>
    <w:rsid w:val="00FB1E43"/>
    <w:rsid w:val="00FB3247"/>
    <w:rsid w:val="00FB5EDC"/>
    <w:rsid w:val="00FB60D4"/>
    <w:rsid w:val="00FB6BAF"/>
    <w:rsid w:val="00FC1493"/>
    <w:rsid w:val="00FC1837"/>
    <w:rsid w:val="00FC43D0"/>
    <w:rsid w:val="00FC59B5"/>
    <w:rsid w:val="00FC608A"/>
    <w:rsid w:val="00FC6EEC"/>
    <w:rsid w:val="00FC765B"/>
    <w:rsid w:val="00FC7B11"/>
    <w:rsid w:val="00FD02E5"/>
    <w:rsid w:val="00FD307A"/>
    <w:rsid w:val="00FD41A4"/>
    <w:rsid w:val="00FD5019"/>
    <w:rsid w:val="00FD530F"/>
    <w:rsid w:val="00FD6E8A"/>
    <w:rsid w:val="00FE02DD"/>
    <w:rsid w:val="00FE0784"/>
    <w:rsid w:val="00FE2892"/>
    <w:rsid w:val="00FE48FC"/>
    <w:rsid w:val="00FE5F59"/>
    <w:rsid w:val="00FE7B41"/>
    <w:rsid w:val="00FE7CF5"/>
    <w:rsid w:val="00FF0112"/>
    <w:rsid w:val="00FF195B"/>
    <w:rsid w:val="00FF1EDE"/>
    <w:rsid w:val="00FF221A"/>
    <w:rsid w:val="00FF3ABE"/>
    <w:rsid w:val="00FF5155"/>
    <w:rsid w:val="00FF62D7"/>
    <w:rsid w:val="00FF65B5"/>
    <w:rsid w:val="00FF7678"/>
    <w:rsid w:val="00FF77B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BBAA5"/>
  <w15:docId w15:val="{0CE55BBF-A340-43FF-8FA2-9EF01830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A6C"/>
  </w:style>
  <w:style w:type="paragraph" w:styleId="Heading1">
    <w:name w:val="heading 1"/>
    <w:basedOn w:val="Normal"/>
    <w:next w:val="Normal"/>
    <w:link w:val="Heading1Char"/>
    <w:uiPriority w:val="9"/>
    <w:qFormat/>
    <w:rsid w:val="00A444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4449F"/>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val="en-IN" w:eastAsia="en-IN"/>
    </w:rPr>
  </w:style>
  <w:style w:type="paragraph" w:styleId="Heading3">
    <w:name w:val="heading 3"/>
    <w:basedOn w:val="Normal"/>
    <w:next w:val="Normal"/>
    <w:link w:val="Heading3Char"/>
    <w:uiPriority w:val="9"/>
    <w:semiHidden/>
    <w:unhideWhenUsed/>
    <w:qFormat/>
    <w:rsid w:val="00482EF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050B7"/>
    <w:pPr>
      <w:tabs>
        <w:tab w:val="center" w:pos="4320"/>
        <w:tab w:val="right" w:pos="8640"/>
      </w:tabs>
      <w:spacing w:after="0"/>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050B7"/>
    <w:rPr>
      <w:rFonts w:ascii="Times New Roman" w:eastAsia="Times New Roman" w:hAnsi="Times New Roman" w:cs="Times New Roman"/>
      <w:sz w:val="24"/>
      <w:szCs w:val="24"/>
    </w:rPr>
  </w:style>
  <w:style w:type="paragraph" w:styleId="Footer">
    <w:name w:val="footer"/>
    <w:basedOn w:val="Normal"/>
    <w:link w:val="FooterChar"/>
    <w:uiPriority w:val="99"/>
    <w:rsid w:val="003050B7"/>
    <w:pPr>
      <w:tabs>
        <w:tab w:val="center" w:pos="4320"/>
        <w:tab w:val="right" w:pos="8640"/>
      </w:tabs>
      <w:spacing w:after="0"/>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050B7"/>
    <w:rPr>
      <w:rFonts w:ascii="Times New Roman" w:eastAsia="Times New Roman" w:hAnsi="Times New Roman" w:cs="Times New Roman"/>
      <w:sz w:val="24"/>
      <w:szCs w:val="24"/>
    </w:rPr>
  </w:style>
  <w:style w:type="character" w:styleId="Strong">
    <w:name w:val="Strong"/>
    <w:basedOn w:val="DefaultParagraphFont"/>
    <w:qFormat/>
    <w:rsid w:val="003050B7"/>
    <w:rPr>
      <w:b/>
      <w:bCs/>
    </w:rPr>
  </w:style>
  <w:style w:type="paragraph" w:styleId="BalloonText">
    <w:name w:val="Balloon Text"/>
    <w:basedOn w:val="Normal"/>
    <w:link w:val="BalloonTextChar"/>
    <w:uiPriority w:val="99"/>
    <w:semiHidden/>
    <w:unhideWhenUsed/>
    <w:rsid w:val="00B9359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592"/>
    <w:rPr>
      <w:rFonts w:ascii="Tahoma" w:hAnsi="Tahoma" w:cs="Tahoma"/>
      <w:sz w:val="16"/>
      <w:szCs w:val="16"/>
    </w:rPr>
  </w:style>
  <w:style w:type="paragraph" w:styleId="ListParagraph">
    <w:name w:val="List Paragraph"/>
    <w:basedOn w:val="Normal"/>
    <w:link w:val="ListParagraphChar"/>
    <w:uiPriority w:val="34"/>
    <w:qFormat/>
    <w:rsid w:val="004E7314"/>
    <w:pPr>
      <w:ind w:left="720"/>
      <w:contextualSpacing/>
    </w:pPr>
  </w:style>
  <w:style w:type="character" w:customStyle="1" w:styleId="ListParagraphChar">
    <w:name w:val="List Paragraph Char"/>
    <w:basedOn w:val="DefaultParagraphFont"/>
    <w:link w:val="ListParagraph"/>
    <w:uiPriority w:val="34"/>
    <w:rsid w:val="006D1B43"/>
  </w:style>
  <w:style w:type="table" w:styleId="TableGrid">
    <w:name w:val="Table Grid"/>
    <w:basedOn w:val="TableNormal"/>
    <w:uiPriority w:val="59"/>
    <w:rsid w:val="00902A5C"/>
    <w:pPr>
      <w:spacing w:after="0"/>
    </w:pPr>
    <w:rPr>
      <w:rFonts w:eastAsiaTheme="minorEastAsia"/>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A4449F"/>
    <w:rPr>
      <w:rFonts w:asciiTheme="majorHAnsi" w:eastAsiaTheme="majorEastAsia" w:hAnsiTheme="majorHAnsi" w:cstheme="majorBidi"/>
      <w:b/>
      <w:bCs/>
      <w:color w:val="4F81BD" w:themeColor="accent1"/>
      <w:sz w:val="26"/>
      <w:szCs w:val="26"/>
      <w:lang w:val="en-IN" w:eastAsia="en-IN"/>
    </w:rPr>
  </w:style>
  <w:style w:type="paragraph" w:customStyle="1" w:styleId="AJMBNK-Heading1">
    <w:name w:val="AJMBNK-Heading 1"/>
    <w:basedOn w:val="Heading1"/>
    <w:autoRedefine/>
    <w:qFormat/>
    <w:rsid w:val="00A4449F"/>
    <w:pPr>
      <w:keepLines w:val="0"/>
      <w:numPr>
        <w:numId w:val="1"/>
      </w:numPr>
      <w:tabs>
        <w:tab w:val="left" w:pos="1134"/>
      </w:tabs>
      <w:spacing w:before="240" w:after="60" w:line="360" w:lineRule="auto"/>
      <w:ind w:right="113"/>
    </w:pPr>
    <w:rPr>
      <w:rFonts w:ascii="Tahoma" w:eastAsia="Times New Roman" w:hAnsi="Tahoma" w:cs="Tahoma"/>
      <w:smallCaps/>
      <w:color w:val="000080"/>
      <w:spacing w:val="20"/>
      <w:kern w:val="32"/>
      <w:lang w:val="en-GB" w:eastAsia="en-IN"/>
    </w:rPr>
  </w:style>
  <w:style w:type="paragraph" w:customStyle="1" w:styleId="AJMBNK-Heading2">
    <w:name w:val="AJMBNK- Heading2"/>
    <w:basedOn w:val="Normal"/>
    <w:autoRedefine/>
    <w:qFormat/>
    <w:rsid w:val="00A4449F"/>
    <w:pPr>
      <w:numPr>
        <w:ilvl w:val="1"/>
        <w:numId w:val="1"/>
      </w:numPr>
      <w:tabs>
        <w:tab w:val="left" w:pos="567"/>
      </w:tabs>
      <w:spacing w:line="276" w:lineRule="auto"/>
      <w:ind w:left="720" w:hanging="426"/>
    </w:pPr>
    <w:rPr>
      <w:rFonts w:eastAsia="Calibri" w:cs="Arial"/>
      <w:b/>
      <w:lang w:val="en-GB" w:eastAsia="en-IN"/>
    </w:rPr>
  </w:style>
  <w:style w:type="paragraph" w:customStyle="1" w:styleId="H3-AJMBNK">
    <w:name w:val="H3-AJMBNK"/>
    <w:basedOn w:val="Normal"/>
    <w:qFormat/>
    <w:rsid w:val="00A4449F"/>
    <w:pPr>
      <w:numPr>
        <w:ilvl w:val="2"/>
        <w:numId w:val="1"/>
      </w:numPr>
      <w:spacing w:line="276" w:lineRule="auto"/>
    </w:pPr>
    <w:rPr>
      <w:rFonts w:ascii="Century Gothic" w:eastAsia="Calibri" w:hAnsi="Century Gothic" w:cs="Times New Roman"/>
      <w:szCs w:val="20"/>
      <w:lang w:val="en-GB" w:eastAsia="en-IN"/>
    </w:rPr>
  </w:style>
  <w:style w:type="character" w:customStyle="1" w:styleId="Heading1Char">
    <w:name w:val="Heading 1 Char"/>
    <w:basedOn w:val="DefaultParagraphFont"/>
    <w:link w:val="Heading1"/>
    <w:uiPriority w:val="9"/>
    <w:rsid w:val="00A4449F"/>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482EF0"/>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3F3CC2-D07D-4B4C-B3DF-6E5855877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12</Pages>
  <Words>4707</Words>
  <Characters>26830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SMSA Demobilization Policy</vt:lpstr>
    </vt:vector>
  </TitlesOfParts>
  <Company>Microsoft</Company>
  <LinksUpToDate>false</LinksUpToDate>
  <CharactersWithSpaces>31475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SMSA Demobilization Policy</dc:title>
  <dc:subject>Demobilization, Site Closure, Relocation and Project Exit</dc:subject>
  <dc:creator>maltamush</dc:creator>
  <cp:keywords>SMSA, demobilization, closure, relocation, 2PL, 3PL, service center, assets, manpower, vendors, risk, incidents, investigation</cp:keywords>
  <cp:lastModifiedBy>Mohammed Altamush Khan</cp:lastModifiedBy>
  <cp:revision>23</cp:revision>
  <cp:lastPrinted>2026-08-27T08:39:00Z</cp:lastPrinted>
  <dcterms:created xsi:type="dcterms:W3CDTF">2023-03-29T09:21:00Z</dcterms:created>
  <dcterms:modified xsi:type="dcterms:W3CDTF">2026-08-30T12:34:00Z</dcterms:modified>
</cp:coreProperties>
</file>